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09F21" w14:textId="77777777" w:rsidR="0089371C" w:rsidRDefault="0089371C"/>
    <w:p w14:paraId="17357AC0" w14:textId="77777777" w:rsidR="008328AE" w:rsidRDefault="008328AE"/>
    <w:p w14:paraId="79B2CF58" w14:textId="77777777" w:rsidR="008328AE" w:rsidRDefault="008328AE"/>
    <w:p w14:paraId="5BC95AA1" w14:textId="77777777" w:rsidR="008328AE" w:rsidRDefault="008328AE"/>
    <w:p w14:paraId="56A6AF79" w14:textId="77777777" w:rsidR="008328AE" w:rsidRDefault="008328AE"/>
    <w:p w14:paraId="53A69EC1" w14:textId="286C872D" w:rsidR="008328AE" w:rsidRDefault="008328AE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03B58BB4" wp14:editId="66BD1E61">
            <wp:simplePos x="0" y="0"/>
            <wp:positionH relativeFrom="margin">
              <wp:posOffset>2009775</wp:posOffset>
            </wp:positionH>
            <wp:positionV relativeFrom="margin">
              <wp:posOffset>1494155</wp:posOffset>
            </wp:positionV>
            <wp:extent cx="2487295" cy="1011555"/>
            <wp:effectExtent l="0" t="0" r="8255" b="0"/>
            <wp:wrapSquare wrapText="bothSides"/>
            <wp:docPr id="2" name="Obraz 1" descr="Merida Polska | Facebook">
              <a:extLst xmlns:a="http://schemas.openxmlformats.org/drawingml/2006/main">
                <a:ext uri="{FF2B5EF4-FFF2-40B4-BE49-F238E27FC236}">
                  <a16:creationId xmlns:a16="http://schemas.microsoft.com/office/drawing/2014/main" id="{CF71B972-FADE-2B57-289B-7DF9EED6CAE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 descr="Merida Polska | Facebook">
                      <a:extLst>
                        <a:ext uri="{FF2B5EF4-FFF2-40B4-BE49-F238E27FC236}">
                          <a16:creationId xmlns:a16="http://schemas.microsoft.com/office/drawing/2014/main" id="{CF71B972-FADE-2B57-289B-7DF9EED6CAE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56" t="18852" r="3986" b="29734"/>
                    <a:stretch/>
                  </pic:blipFill>
                  <pic:spPr bwMode="auto">
                    <a:xfrm>
                      <a:off x="0" y="0"/>
                      <a:ext cx="2487295" cy="1011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253E3C" w14:textId="77777777" w:rsidR="008328AE" w:rsidRDefault="008328AE"/>
    <w:p w14:paraId="41D161C2" w14:textId="77777777" w:rsidR="008328AE" w:rsidRPr="008328AE" w:rsidRDefault="008328AE" w:rsidP="008328AE"/>
    <w:p w14:paraId="18A020C7" w14:textId="77777777" w:rsidR="008328AE" w:rsidRPr="008328AE" w:rsidRDefault="008328AE" w:rsidP="008328AE"/>
    <w:p w14:paraId="521628D7" w14:textId="35604E87" w:rsidR="008328AE" w:rsidRPr="008328AE" w:rsidRDefault="008328AE" w:rsidP="008328AE">
      <w:r w:rsidRPr="008328AE">
        <w:rPr>
          <w:noProof/>
          <w:kern w:val="0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34C9A" wp14:editId="30DE6FDC">
                <wp:simplePos x="0" y="0"/>
                <wp:positionH relativeFrom="margin">
                  <wp:posOffset>1333500</wp:posOffset>
                </wp:positionH>
                <wp:positionV relativeFrom="paragraph">
                  <wp:posOffset>171450</wp:posOffset>
                </wp:positionV>
                <wp:extent cx="3916680" cy="1104900"/>
                <wp:effectExtent l="0" t="0" r="7620" b="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6680" cy="11049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3B7594" w14:textId="77777777" w:rsidR="00F45A3F" w:rsidRPr="00131BA3" w:rsidRDefault="00F45A3F" w:rsidP="00F45A3F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30"/>
                                <w:szCs w:val="30"/>
                              </w:rPr>
                              <w:t>Procedura zgłaszania naruszeń prawa                      oraz podejmowania działań następczych                            w Merida Polska Sp. z o. o.</w:t>
                            </w:r>
                          </w:p>
                          <w:p w14:paraId="1679BE8A" w14:textId="0F198007" w:rsidR="008328AE" w:rsidRPr="00131BA3" w:rsidRDefault="008328AE" w:rsidP="008328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434C9A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margin-left:105pt;margin-top:13.5pt;width:308.4pt;height:8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" fillcolor="#92d050" stroked="f" strokeweight=".5pt">
                <v:textbox>
                  <w:txbxContent>
                    <w:p w14:paraId="5D3B7594" w14:textId="77777777" w:rsidR="00F45A3F" w:rsidRPr="00131BA3" w:rsidRDefault="00F45A3F" w:rsidP="00F45A3F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30"/>
                          <w:szCs w:val="30"/>
                        </w:rPr>
                        <w:t>Procedura zgłaszania naruszeń prawa                      oraz podejmowania działań następczych                            w Merida Polska Sp. z o. o.</w:t>
                      </w:r>
                    </w:p>
                    <w:p w14:paraId="1679BE8A" w14:textId="0F198007" w:rsidR="008328AE" w:rsidRPr="00131BA3" w:rsidRDefault="008328AE" w:rsidP="008328AE">
                      <w:pPr>
                        <w:jc w:val="center"/>
                        <w:rPr>
                          <w:b/>
                          <w:bCs/>
                          <w:i/>
                          <w:iCs/>
                          <w:sz w:val="30"/>
                          <w:szCs w:val="3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29A2F0" w14:textId="77777777" w:rsidR="008328AE" w:rsidRDefault="008328AE" w:rsidP="008328AE"/>
    <w:p w14:paraId="535C9B11" w14:textId="77777777" w:rsidR="008328AE" w:rsidRDefault="008328AE" w:rsidP="008328AE">
      <w:pPr>
        <w:jc w:val="center"/>
      </w:pPr>
    </w:p>
    <w:p w14:paraId="22B5B8C3" w14:textId="77777777" w:rsidR="008328AE" w:rsidRDefault="008328AE" w:rsidP="008328AE">
      <w:pPr>
        <w:jc w:val="center"/>
      </w:pPr>
    </w:p>
    <w:p w14:paraId="307DE5A9" w14:textId="77777777" w:rsidR="008328AE" w:rsidRDefault="008328AE" w:rsidP="008328AE">
      <w:pPr>
        <w:jc w:val="center"/>
      </w:pPr>
    </w:p>
    <w:p w14:paraId="68E04F8C" w14:textId="35337AB9" w:rsidR="008328AE" w:rsidRDefault="008328AE" w:rsidP="008328AE">
      <w:pPr>
        <w:jc w:val="center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762270" wp14:editId="2F1410E9">
                <wp:simplePos x="0" y="0"/>
                <wp:positionH relativeFrom="margin">
                  <wp:posOffset>1123950</wp:posOffset>
                </wp:positionH>
                <wp:positionV relativeFrom="paragraph">
                  <wp:posOffset>66675</wp:posOffset>
                </wp:positionV>
                <wp:extent cx="4328160" cy="1127760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28160" cy="11277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C5837B" w14:textId="77777777" w:rsidR="008328AE" w:rsidRPr="0028756B" w:rsidRDefault="008328AE" w:rsidP="008328AE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28756B">
                              <w:rPr>
                                <w:b/>
                                <w:bCs/>
                                <w:i/>
                                <w:iCs/>
                              </w:rPr>
                              <w:t>Niniejszy dokument jest własnością MERIDA Polska Sp. z o. o.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                         </w:t>
                            </w:r>
                            <w:r w:rsidRPr="0028756B">
                              <w:rPr>
                                <w:b/>
                                <w:bCs/>
                                <w:i/>
                                <w:iCs/>
                              </w:rPr>
                              <w:t xml:space="preserve"> i przeznaczony jest do użytku służbowego, wewnątrzorganizacyjnego. Zabrania się użytkownikom dokonywania zmian w treści dokumentu, jego kopiowania i rozpowszechniania poza Spółką.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762270" id="Pole tekstowe 7" o:spid="_x0000_s1027" type="#_x0000_t202" style="position:absolute;left:0;text-align:left;margin-left:88.5pt;margin-top:5.25pt;width:340.8pt;height:88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" fillcolor="white [3201]" stroked="f" strokeweight=".5pt">
                <v:textbox>
                  <w:txbxContent>
                    <w:p w14:paraId="35C5837B" w14:textId="77777777" w:rsidR="008328AE" w:rsidRPr="0028756B" w:rsidRDefault="008328AE" w:rsidP="008328AE">
                      <w:pPr>
                        <w:jc w:val="center"/>
                        <w:rPr>
                          <w:b/>
                          <w:bCs/>
                          <w:i/>
                          <w:iCs/>
                        </w:rPr>
                      </w:pPr>
                      <w:r w:rsidRPr="0028756B">
                        <w:rPr>
                          <w:b/>
                          <w:bCs/>
                          <w:i/>
                          <w:iCs/>
                        </w:rPr>
                        <w:t>Niniejszy dokument jest własnością MERIDA Polska Sp. z o. o.</w:t>
                      </w:r>
                      <w:r>
                        <w:rPr>
                          <w:b/>
                          <w:bCs/>
                          <w:i/>
                          <w:iCs/>
                        </w:rPr>
                        <w:t xml:space="preserve">                          </w:t>
                      </w:r>
                      <w:r w:rsidRPr="0028756B">
                        <w:rPr>
                          <w:b/>
                          <w:bCs/>
                          <w:i/>
                          <w:iCs/>
                        </w:rPr>
                        <w:t xml:space="preserve"> i przeznaczony jest do użytku służbowego, wewnątrzorganizacyjnego. Zabrania się użytkownikom dokonywania zmian w treści dokumentu, jego kopiowania i rozpowszechniania poza Spółką.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588ED2" w14:textId="77777777" w:rsidR="0062419F" w:rsidRPr="0062419F" w:rsidRDefault="0062419F" w:rsidP="0062419F"/>
    <w:p w14:paraId="606BC369" w14:textId="77777777" w:rsidR="0062419F" w:rsidRPr="0062419F" w:rsidRDefault="0062419F" w:rsidP="0062419F"/>
    <w:p w14:paraId="21348B09" w14:textId="77777777" w:rsidR="0062419F" w:rsidRPr="0062419F" w:rsidRDefault="0062419F" w:rsidP="0062419F"/>
    <w:p w14:paraId="77C68BBE" w14:textId="77777777" w:rsidR="0062419F" w:rsidRDefault="0062419F" w:rsidP="0062419F"/>
    <w:p w14:paraId="16EBF010" w14:textId="77777777" w:rsidR="0062419F" w:rsidRDefault="0062419F" w:rsidP="0062419F">
      <w:pPr>
        <w:tabs>
          <w:tab w:val="left" w:pos="8535"/>
        </w:tabs>
      </w:pPr>
      <w:r>
        <w:tab/>
      </w:r>
    </w:p>
    <w:p w14:paraId="746548FC" w14:textId="77777777" w:rsidR="0062419F" w:rsidRDefault="0062419F" w:rsidP="0062419F">
      <w:pPr>
        <w:tabs>
          <w:tab w:val="left" w:pos="8535"/>
        </w:tabs>
      </w:pPr>
    </w:p>
    <w:p w14:paraId="6CADEE12" w14:textId="77777777" w:rsidR="0062419F" w:rsidRDefault="0062419F" w:rsidP="0062419F">
      <w:pPr>
        <w:tabs>
          <w:tab w:val="left" w:pos="8535"/>
        </w:tabs>
      </w:pPr>
    </w:p>
    <w:p w14:paraId="6793128F" w14:textId="77777777" w:rsidR="0062419F" w:rsidRDefault="0062419F" w:rsidP="0062419F">
      <w:pPr>
        <w:tabs>
          <w:tab w:val="left" w:pos="8535"/>
        </w:tabs>
      </w:pPr>
    </w:p>
    <w:p w14:paraId="103BF90E" w14:textId="77777777" w:rsidR="0062419F" w:rsidRDefault="0062419F" w:rsidP="0062419F">
      <w:pPr>
        <w:tabs>
          <w:tab w:val="left" w:pos="8535"/>
        </w:tabs>
      </w:pPr>
    </w:p>
    <w:p w14:paraId="67CE4049" w14:textId="77777777" w:rsidR="0062419F" w:rsidRDefault="0062419F" w:rsidP="0062419F">
      <w:pPr>
        <w:tabs>
          <w:tab w:val="left" w:pos="8535"/>
        </w:tabs>
      </w:pPr>
    </w:p>
    <w:p w14:paraId="6E85252E" w14:textId="77777777" w:rsidR="0062419F" w:rsidRDefault="0062419F" w:rsidP="0062419F">
      <w:pPr>
        <w:tabs>
          <w:tab w:val="left" w:pos="8535"/>
        </w:tabs>
      </w:pPr>
    </w:p>
    <w:p w14:paraId="04F04ECD" w14:textId="77777777" w:rsidR="0062419F" w:rsidRDefault="0062419F" w:rsidP="0062419F">
      <w:pPr>
        <w:tabs>
          <w:tab w:val="left" w:pos="8535"/>
        </w:tabs>
      </w:pPr>
    </w:p>
    <w:p w14:paraId="120BAFF8" w14:textId="77777777" w:rsidR="0062419F" w:rsidRDefault="0062419F" w:rsidP="0062419F">
      <w:pPr>
        <w:tabs>
          <w:tab w:val="left" w:pos="8535"/>
        </w:tabs>
      </w:pPr>
    </w:p>
    <w:p w14:paraId="656A77FC" w14:textId="77777777" w:rsidR="00AE21A1" w:rsidRDefault="00AE21A1" w:rsidP="0062419F">
      <w:pPr>
        <w:pStyle w:val="beckformolarz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089F5E8" w14:textId="77777777" w:rsidR="00AE21A1" w:rsidRDefault="00AE21A1" w:rsidP="0062419F">
      <w:pPr>
        <w:pStyle w:val="beckformolarz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7ABACB0" w14:textId="77777777" w:rsidR="00AE21A1" w:rsidRDefault="00AE21A1" w:rsidP="0062419F">
      <w:pPr>
        <w:pStyle w:val="beckformolarz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8ECF34E" w14:textId="77777777" w:rsidR="00F45A3F" w:rsidRPr="00993F51" w:rsidRDefault="00F45A3F" w:rsidP="000B5BD2">
      <w:pPr>
        <w:jc w:val="center"/>
        <w:rPr>
          <w:b/>
        </w:rPr>
      </w:pPr>
      <w:r w:rsidRPr="00993F51">
        <w:rPr>
          <w:rFonts w:cstheme="minorHAnsi"/>
          <w:b/>
        </w:rPr>
        <w:lastRenderedPageBreak/>
        <w:t>§</w:t>
      </w:r>
      <w:r w:rsidRPr="00993F51">
        <w:rPr>
          <w:b/>
        </w:rPr>
        <w:t xml:space="preserve"> 1</w:t>
      </w:r>
    </w:p>
    <w:p w14:paraId="353EF4D8" w14:textId="328AF47C" w:rsidR="00F45A3F" w:rsidRDefault="00F45A3F" w:rsidP="00C95A7F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>Działając na podstawie przepisów  ustawy z dnia 14 czerwca 2024 o ochronie sygnali</w:t>
      </w:r>
      <w:r w:rsidR="00C527DB">
        <w:t xml:space="preserve">stów, niniejszym wprowadza się </w:t>
      </w:r>
      <w:r>
        <w:t>w Merida Polska Sp. z o.o. wewnętrzną procedurę zgłaszania naruszeń prawa oraz po</w:t>
      </w:r>
      <w:r w:rsidR="00C527DB">
        <w:t>dejmowania działań następczych.</w:t>
      </w:r>
    </w:p>
    <w:p w14:paraId="4B43BF89" w14:textId="77777777" w:rsidR="00F45A3F" w:rsidRPr="00303294" w:rsidRDefault="00F45A3F" w:rsidP="00C95A7F">
      <w:pPr>
        <w:pStyle w:val="Akapitzlist"/>
        <w:numPr>
          <w:ilvl w:val="0"/>
          <w:numId w:val="1"/>
        </w:numPr>
        <w:spacing w:after="160" w:line="259" w:lineRule="auto"/>
        <w:jc w:val="both"/>
      </w:pPr>
      <w:r>
        <w:t xml:space="preserve">Celem </w:t>
      </w:r>
      <w:r w:rsidRPr="00303294">
        <w:t>niniejszej procedury jest:</w:t>
      </w:r>
    </w:p>
    <w:p w14:paraId="0117C609" w14:textId="33143F95" w:rsidR="00F45A3F" w:rsidRPr="00303294" w:rsidRDefault="00F45A3F" w:rsidP="00C95A7F">
      <w:pPr>
        <w:pStyle w:val="Akapitzlist"/>
        <w:numPr>
          <w:ilvl w:val="0"/>
          <w:numId w:val="2"/>
        </w:numPr>
        <w:spacing w:after="160" w:line="259" w:lineRule="auto"/>
        <w:jc w:val="both"/>
      </w:pPr>
      <w:r w:rsidRPr="00303294">
        <w:t>podejm</w:t>
      </w:r>
      <w:r w:rsidR="00C527DB" w:rsidRPr="00303294">
        <w:t xml:space="preserve">owanie działań mających za zadanie </w:t>
      </w:r>
      <w:r w:rsidRPr="00303294">
        <w:t xml:space="preserve">identyfikowanie </w:t>
      </w:r>
      <w:r w:rsidR="00C527DB" w:rsidRPr="00303294">
        <w:t>nieprawidłowości w Spółce dla</w:t>
      </w:r>
      <w:r w:rsidRPr="00303294">
        <w:t xml:space="preserve"> eliminowania </w:t>
      </w:r>
      <w:r w:rsidR="00C527DB" w:rsidRPr="00303294">
        <w:t xml:space="preserve">ich </w:t>
      </w:r>
      <w:r w:rsidR="005D75E0" w:rsidRPr="00303294">
        <w:t>oraz</w:t>
      </w:r>
      <w:r w:rsidRPr="00303294">
        <w:t xml:space="preserve"> ograniczenia </w:t>
      </w:r>
      <w:r w:rsidR="00C527DB" w:rsidRPr="00303294">
        <w:t xml:space="preserve">związanego z nimi </w:t>
      </w:r>
      <w:r w:rsidRPr="00303294">
        <w:t>ryzyka w działalności Spółki,</w:t>
      </w:r>
    </w:p>
    <w:p w14:paraId="081503E4" w14:textId="0CE81070" w:rsidR="00F45A3F" w:rsidRDefault="00F45A3F" w:rsidP="00C95A7F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skuteczne wykryw</w:t>
      </w:r>
      <w:r w:rsidR="00C527DB">
        <w:t>anie przypadków naruszeń prawa,</w:t>
      </w:r>
    </w:p>
    <w:p w14:paraId="2942F349" w14:textId="77777777" w:rsidR="00F45A3F" w:rsidRDefault="00F45A3F" w:rsidP="00C95A7F">
      <w:pPr>
        <w:pStyle w:val="Akapitzlist"/>
        <w:numPr>
          <w:ilvl w:val="0"/>
          <w:numId w:val="2"/>
        </w:numPr>
        <w:spacing w:after="160" w:line="259" w:lineRule="auto"/>
        <w:jc w:val="both"/>
      </w:pPr>
      <w:r>
        <w:t>ochrona osób zgłaszających nieprawidłowości, pomagających w dokonaniu zgłoszenia oraz osób powiązanych  z osobami zgłaszającymi.</w:t>
      </w:r>
    </w:p>
    <w:p w14:paraId="087BF201" w14:textId="77777777" w:rsidR="00F45A3F" w:rsidRDefault="00F45A3F" w:rsidP="000B5BD2">
      <w:pPr>
        <w:jc w:val="both"/>
        <w:rPr>
          <w:rFonts w:cstheme="minorHAnsi"/>
          <w:b/>
        </w:rPr>
      </w:pPr>
    </w:p>
    <w:p w14:paraId="15FFCE38" w14:textId="3D62888B" w:rsidR="00F45A3F" w:rsidRPr="00DC4DD8" w:rsidRDefault="00F45A3F" w:rsidP="000B5BD2">
      <w:pPr>
        <w:jc w:val="center"/>
        <w:rPr>
          <w:b/>
        </w:rPr>
      </w:pPr>
      <w:r w:rsidRPr="00DC4DD8">
        <w:rPr>
          <w:rFonts w:cstheme="minorHAnsi"/>
          <w:b/>
        </w:rPr>
        <w:t>§</w:t>
      </w:r>
      <w:r w:rsidRPr="00DC4DD8">
        <w:rPr>
          <w:b/>
        </w:rPr>
        <w:t xml:space="preserve"> 2</w:t>
      </w:r>
    </w:p>
    <w:p w14:paraId="1196FEDE" w14:textId="77777777" w:rsidR="00F45A3F" w:rsidRPr="00DC4DD8" w:rsidRDefault="00F45A3F" w:rsidP="000B5BD2">
      <w:pPr>
        <w:jc w:val="center"/>
        <w:rPr>
          <w:b/>
        </w:rPr>
      </w:pPr>
      <w:r w:rsidRPr="00DC4DD8">
        <w:rPr>
          <w:b/>
        </w:rPr>
        <w:t>Definicje</w:t>
      </w:r>
    </w:p>
    <w:p w14:paraId="68BC5589" w14:textId="3E5FFB19" w:rsidR="00F45A3F" w:rsidRPr="00303294" w:rsidRDefault="00303294" w:rsidP="000B5BD2">
      <w:pPr>
        <w:jc w:val="both"/>
      </w:pPr>
      <w:r>
        <w:t>Ilekroć w niniejszej procedurze jest mowa o:</w:t>
      </w:r>
      <w:r w:rsidR="00D305A1" w:rsidRPr="00B92C0C">
        <w:rPr>
          <w:color w:val="FF0000"/>
        </w:rPr>
        <w:t xml:space="preserve"> </w:t>
      </w:r>
    </w:p>
    <w:p w14:paraId="1C2A6AE3" w14:textId="2AD8146B" w:rsidR="00F45A3F" w:rsidRDefault="00F45A3F" w:rsidP="00C95A7F">
      <w:pPr>
        <w:pStyle w:val="Akapitzlist"/>
        <w:numPr>
          <w:ilvl w:val="0"/>
          <w:numId w:val="3"/>
        </w:numPr>
        <w:spacing w:after="160" w:line="259" w:lineRule="auto"/>
        <w:jc w:val="both"/>
      </w:pPr>
      <w:r w:rsidRPr="0070733D">
        <w:rPr>
          <w:b/>
          <w:bCs/>
        </w:rPr>
        <w:t>Spółka</w:t>
      </w:r>
      <w:r>
        <w:t xml:space="preserve"> – Merida Polska Sp. z o.o.  z siedzibą w Zabrzu przy ul. M.C. Skłodowskiej 35, 41-800 Zabrze wpisana</w:t>
      </w:r>
      <w:r w:rsidR="000B5BD2">
        <w:t xml:space="preserve">                       </w:t>
      </w:r>
      <w:r>
        <w:t xml:space="preserve"> do rejestru przedsiębiorców prowadzonego przez Sąd Rejonowy w Gliwicach X Wydział Gospodarczy KRS pod</w:t>
      </w:r>
      <w:r w:rsidR="000B5BD2">
        <w:t xml:space="preserve">                  </w:t>
      </w:r>
      <w:r>
        <w:t xml:space="preserve"> nr 0000019537, NIP: 6312300850, REGON 008174780</w:t>
      </w:r>
      <w:r w:rsidR="005D75E0">
        <w:t>,</w:t>
      </w:r>
      <w:r>
        <w:t xml:space="preserve"> BDO: </w:t>
      </w:r>
      <w:bookmarkStart w:id="0" w:name="_Hlk176434669"/>
      <w:r>
        <w:t>000048457</w:t>
      </w:r>
      <w:r w:rsidR="00D305A1">
        <w:t>.</w:t>
      </w:r>
      <w:bookmarkEnd w:id="0"/>
    </w:p>
    <w:p w14:paraId="225336DF" w14:textId="0197FCDC" w:rsidR="00F45A3F" w:rsidRDefault="00F45A3F" w:rsidP="00C95A7F">
      <w:pPr>
        <w:pStyle w:val="Akapitzlist"/>
        <w:numPr>
          <w:ilvl w:val="0"/>
          <w:numId w:val="3"/>
        </w:numPr>
        <w:spacing w:after="160" w:line="259" w:lineRule="auto"/>
        <w:jc w:val="both"/>
      </w:pPr>
      <w:r w:rsidRPr="0070733D">
        <w:rPr>
          <w:b/>
          <w:bCs/>
        </w:rPr>
        <w:t>Sygnalista</w:t>
      </w:r>
      <w:r>
        <w:t xml:space="preserve"> – osoba fizyczna, która </w:t>
      </w:r>
      <w:r w:rsidR="00D305A1">
        <w:t>dokonuje zgłoszenia</w:t>
      </w:r>
      <w:r>
        <w:t xml:space="preserve"> lub ujawnienia publicznego informacji o naruszeniu prawa w kontekście związanym z pracą, niezależnie od sposobu zatrudnienia, współpracy ze Spółką.</w:t>
      </w:r>
    </w:p>
    <w:p w14:paraId="6D6CC986" w14:textId="5229CEDA" w:rsidR="00F45A3F" w:rsidRDefault="00D305A1" w:rsidP="00C95A7F">
      <w:pPr>
        <w:pStyle w:val="Akapitzlist"/>
        <w:numPr>
          <w:ilvl w:val="0"/>
          <w:numId w:val="3"/>
        </w:numPr>
        <w:spacing w:after="160" w:line="259" w:lineRule="auto"/>
        <w:jc w:val="both"/>
      </w:pPr>
      <w:r w:rsidRPr="00D305A1">
        <w:rPr>
          <w:b/>
        </w:rPr>
        <w:t>Procedura</w:t>
      </w:r>
      <w:r>
        <w:t xml:space="preserve"> –</w:t>
      </w:r>
      <w:r w:rsidR="00F45A3F">
        <w:t xml:space="preserve"> niniejsza procedura zgłaszania naruszeń prawa oraz podejmowania działań następczych</w:t>
      </w:r>
      <w:r w:rsidR="000B5BD2">
        <w:t xml:space="preserve">                                     </w:t>
      </w:r>
      <w:r w:rsidR="00FE071E">
        <w:t xml:space="preserve"> w Merida Polska sp. z o.o.</w:t>
      </w:r>
    </w:p>
    <w:p w14:paraId="017C0295" w14:textId="77777777" w:rsidR="00F45A3F" w:rsidRDefault="00F45A3F" w:rsidP="00C95A7F">
      <w:pPr>
        <w:pStyle w:val="Akapitzlist"/>
        <w:numPr>
          <w:ilvl w:val="0"/>
          <w:numId w:val="3"/>
        </w:numPr>
        <w:spacing w:after="160" w:line="259" w:lineRule="auto"/>
        <w:jc w:val="both"/>
      </w:pPr>
      <w:r w:rsidRPr="0070733D">
        <w:rPr>
          <w:b/>
          <w:bCs/>
        </w:rPr>
        <w:t>Zgłoszenie</w:t>
      </w:r>
      <w:r>
        <w:t xml:space="preserve"> – ustne lub pisemne zgłoszenie przez sygnalistę informacji o naruszeniu prawa.</w:t>
      </w:r>
    </w:p>
    <w:p w14:paraId="0D7BCCFF" w14:textId="103D9EF0" w:rsidR="00F45A3F" w:rsidRPr="0077390E" w:rsidRDefault="00F45A3F" w:rsidP="00C95A7F">
      <w:pPr>
        <w:pStyle w:val="Akapitzlist"/>
        <w:numPr>
          <w:ilvl w:val="0"/>
          <w:numId w:val="3"/>
        </w:numPr>
        <w:spacing w:after="160" w:line="259" w:lineRule="auto"/>
        <w:jc w:val="both"/>
      </w:pPr>
      <w:r>
        <w:rPr>
          <w:rFonts w:cstheme="minorHAnsi"/>
          <w:b/>
          <w:bCs/>
        </w:rPr>
        <w:t>I</w:t>
      </w:r>
      <w:r w:rsidRPr="0070733D">
        <w:rPr>
          <w:rFonts w:cstheme="minorHAnsi"/>
          <w:b/>
          <w:bCs/>
        </w:rPr>
        <w:t>nformacja o naruszeniu prawa</w:t>
      </w:r>
      <w:r w:rsidRPr="0070733D">
        <w:rPr>
          <w:rFonts w:cstheme="minorHAnsi"/>
        </w:rPr>
        <w:t xml:space="preserve"> – przekaz</w:t>
      </w:r>
      <w:r w:rsidR="00D305A1">
        <w:rPr>
          <w:rFonts w:cstheme="minorHAnsi"/>
        </w:rPr>
        <w:t>ana przez sygnalistę informacja,</w:t>
      </w:r>
      <w:r w:rsidRPr="0070733D">
        <w:rPr>
          <w:rFonts w:cstheme="minorHAnsi"/>
        </w:rPr>
        <w:t xml:space="preserve"> w tym uzasadnione podejrzenie dotyczące zaistniałego lub potencjalnego naruszenia prawa, do którego doszło lub prawdopodobnie dojdzie</w:t>
      </w:r>
      <w:r w:rsidR="000B5BD2">
        <w:rPr>
          <w:rFonts w:cstheme="minorHAnsi"/>
        </w:rPr>
        <w:t xml:space="preserve">                       </w:t>
      </w:r>
      <w:r w:rsidR="00D305A1">
        <w:rPr>
          <w:rFonts w:cstheme="minorHAnsi"/>
        </w:rPr>
        <w:t xml:space="preserve"> w Spółce</w:t>
      </w:r>
      <w:r w:rsidRPr="0070733D">
        <w:rPr>
          <w:rFonts w:cstheme="minorHAnsi"/>
        </w:rPr>
        <w:t>, w którym sygnalista uczestniczył w procesie rekrutacji lub innych negocjacji poprzedzających zawarcie umowy,</w:t>
      </w:r>
      <w:r w:rsidR="00B92C0C">
        <w:rPr>
          <w:rFonts w:cstheme="minorHAnsi"/>
        </w:rPr>
        <w:t xml:space="preserve"> </w:t>
      </w:r>
      <w:r w:rsidR="00B92C0C" w:rsidRPr="00303294">
        <w:rPr>
          <w:rFonts w:cstheme="minorHAnsi"/>
        </w:rPr>
        <w:t>w której</w:t>
      </w:r>
      <w:r w:rsidRPr="00303294">
        <w:rPr>
          <w:rFonts w:cstheme="minorHAnsi"/>
        </w:rPr>
        <w:t xml:space="preserve"> pracuje </w:t>
      </w:r>
      <w:r w:rsidRPr="0070733D">
        <w:rPr>
          <w:rFonts w:cstheme="minorHAnsi"/>
        </w:rPr>
        <w:t>lub pracował, lub w innym podmiocie prawnym, z którym sygnalista utrzymuje lub utrzymywał kontakt w kontekście związanym z pracą, lub informację dotyczącą próby ukrycia takiego naruszenia prawa</w:t>
      </w:r>
      <w:r w:rsidR="000B5BD2">
        <w:rPr>
          <w:rFonts w:cstheme="minorHAnsi"/>
        </w:rPr>
        <w:t>.</w:t>
      </w:r>
    </w:p>
    <w:p w14:paraId="61741553" w14:textId="77777777" w:rsidR="00F45A3F" w:rsidRDefault="00F45A3F" w:rsidP="000B5BD2">
      <w:pPr>
        <w:jc w:val="both"/>
        <w:rPr>
          <w:rFonts w:cstheme="minorHAnsi"/>
          <w:b/>
        </w:rPr>
      </w:pPr>
    </w:p>
    <w:p w14:paraId="3D62E975" w14:textId="77777777" w:rsidR="00F45A3F" w:rsidRDefault="00F45A3F" w:rsidP="000B5BD2">
      <w:pPr>
        <w:jc w:val="center"/>
        <w:rPr>
          <w:rFonts w:cstheme="minorHAnsi"/>
          <w:b/>
        </w:rPr>
      </w:pPr>
      <w:r w:rsidRPr="00EC6F1F">
        <w:rPr>
          <w:rFonts w:cstheme="minorHAnsi"/>
          <w:b/>
        </w:rPr>
        <w:t>§</w:t>
      </w:r>
      <w:r>
        <w:rPr>
          <w:rFonts w:cstheme="minorHAnsi"/>
          <w:b/>
        </w:rPr>
        <w:t xml:space="preserve"> 3</w:t>
      </w:r>
    </w:p>
    <w:p w14:paraId="16A2F6A3" w14:textId="081D01A9" w:rsidR="00F45A3F" w:rsidRPr="00EC6F1F" w:rsidRDefault="00F45A3F" w:rsidP="000B5BD2">
      <w:pPr>
        <w:jc w:val="center"/>
        <w:rPr>
          <w:b/>
        </w:rPr>
      </w:pPr>
      <w:r>
        <w:rPr>
          <w:rFonts w:cstheme="minorHAnsi"/>
          <w:b/>
        </w:rPr>
        <w:t>Adresaci</w:t>
      </w:r>
    </w:p>
    <w:p w14:paraId="04DC897C" w14:textId="69DE6039" w:rsidR="00F45A3F" w:rsidRDefault="00F45A3F" w:rsidP="00C95A7F">
      <w:pPr>
        <w:pStyle w:val="Akapitzlist"/>
        <w:numPr>
          <w:ilvl w:val="0"/>
          <w:numId w:val="18"/>
        </w:numPr>
        <w:spacing w:after="160" w:line="259" w:lineRule="auto"/>
        <w:jc w:val="both"/>
      </w:pPr>
      <w:r>
        <w:t>Pracownicy oraz osoby świadczące pracę w Spółce na podstawie stosunku pracy lub innego stosunku prawnego stanowiącego świadczenie pracy, usłu</w:t>
      </w:r>
      <w:r w:rsidR="00B92C0C">
        <w:t>g lub pełnienie funkcji zostają</w:t>
      </w:r>
      <w:r>
        <w:t xml:space="preserve"> zapoznani z procedurą oraz zobowiązani</w:t>
      </w:r>
      <w:r w:rsidR="000B5BD2">
        <w:t xml:space="preserve">                            </w:t>
      </w:r>
      <w:r w:rsidR="00B92C0C">
        <w:t xml:space="preserve"> do jej przestrzegania.</w:t>
      </w:r>
    </w:p>
    <w:p w14:paraId="1B930B5A" w14:textId="5C8E084A" w:rsidR="00F45A3F" w:rsidRDefault="00F45A3F" w:rsidP="00C95A7F">
      <w:pPr>
        <w:pStyle w:val="Akapitzlist"/>
        <w:numPr>
          <w:ilvl w:val="0"/>
          <w:numId w:val="18"/>
        </w:numPr>
        <w:spacing w:after="160" w:line="259" w:lineRule="auto"/>
        <w:jc w:val="both"/>
      </w:pPr>
      <w:r>
        <w:t>Osobom ubiegającym się o prac</w:t>
      </w:r>
      <w:r w:rsidR="00B92C0C">
        <w:t>ę na podstawie</w:t>
      </w:r>
      <w:r>
        <w:t xml:space="preserve"> stosunku pracy lub innego stosunku prawnego stanowiącego świadczenie pracy, usług lub pełnienie funkcji informacja o procedurze przekazywana jest wraz z rozpoczęciem rekrutacji lub negocjacji </w:t>
      </w:r>
      <w:r w:rsidR="00B92C0C">
        <w:t>poprzedzających zawarcie umowy.</w:t>
      </w:r>
    </w:p>
    <w:p w14:paraId="73274319" w14:textId="77777777" w:rsidR="00F45A3F" w:rsidRDefault="00F45A3F" w:rsidP="000B5BD2">
      <w:pPr>
        <w:jc w:val="both"/>
        <w:rPr>
          <w:rFonts w:cstheme="minorHAnsi"/>
          <w:b/>
        </w:rPr>
      </w:pPr>
    </w:p>
    <w:p w14:paraId="44461A41" w14:textId="77777777" w:rsidR="00F45A3F" w:rsidRDefault="00F45A3F" w:rsidP="000B5BD2">
      <w:pPr>
        <w:jc w:val="both"/>
        <w:rPr>
          <w:rFonts w:cstheme="minorHAnsi"/>
          <w:b/>
        </w:rPr>
      </w:pPr>
    </w:p>
    <w:p w14:paraId="65EC4DC5" w14:textId="77777777" w:rsidR="00F45A3F" w:rsidRDefault="00F45A3F" w:rsidP="000B5BD2">
      <w:pPr>
        <w:jc w:val="both"/>
        <w:rPr>
          <w:rFonts w:cstheme="minorHAnsi"/>
          <w:b/>
        </w:rPr>
      </w:pPr>
    </w:p>
    <w:p w14:paraId="357075DA" w14:textId="77777777" w:rsidR="00F45A3F" w:rsidRPr="00DC4DD8" w:rsidRDefault="00F45A3F" w:rsidP="000B5BD2">
      <w:pPr>
        <w:jc w:val="center"/>
        <w:rPr>
          <w:b/>
        </w:rPr>
      </w:pPr>
      <w:r w:rsidRPr="00DC4DD8">
        <w:rPr>
          <w:rFonts w:cstheme="minorHAnsi"/>
          <w:b/>
        </w:rPr>
        <w:lastRenderedPageBreak/>
        <w:t>§</w:t>
      </w:r>
      <w:r>
        <w:rPr>
          <w:b/>
        </w:rPr>
        <w:t xml:space="preserve"> 4</w:t>
      </w:r>
    </w:p>
    <w:p w14:paraId="36660CA1" w14:textId="77777777" w:rsidR="00F45A3F" w:rsidRPr="00DC4DD8" w:rsidRDefault="00F45A3F" w:rsidP="000B5BD2">
      <w:pPr>
        <w:jc w:val="center"/>
        <w:rPr>
          <w:b/>
        </w:rPr>
      </w:pPr>
      <w:r w:rsidRPr="00DC4DD8">
        <w:rPr>
          <w:b/>
        </w:rPr>
        <w:t>Przedmiot zgłoszenia</w:t>
      </w:r>
    </w:p>
    <w:p w14:paraId="03FF4D91" w14:textId="77777777" w:rsidR="00F45A3F" w:rsidRDefault="00F45A3F" w:rsidP="000B5BD2">
      <w:pPr>
        <w:jc w:val="both"/>
      </w:pPr>
      <w:r>
        <w:t>Przedmiotem zgłoszenia mogą być wszelkie działania lub zaniechania niezgodne z prawem lub mające na celu obejście prawa dotyczące:</w:t>
      </w:r>
    </w:p>
    <w:p w14:paraId="744F5551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korupcji,</w:t>
      </w:r>
    </w:p>
    <w:p w14:paraId="2288F39F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zamówień publicznych,</w:t>
      </w:r>
    </w:p>
    <w:p w14:paraId="7AF6E384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usług, produktów i rynków finansowych,</w:t>
      </w:r>
    </w:p>
    <w:p w14:paraId="6C83271A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przeciwdziałania praniu pieniędzy oraz finansowaniu terroryzmu,</w:t>
      </w:r>
    </w:p>
    <w:p w14:paraId="7E7FFCDD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bezpieczeństwa produktów i ich zgodności z wymogami,</w:t>
      </w:r>
    </w:p>
    <w:p w14:paraId="0F14A432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bezpieczeństwa transportu,</w:t>
      </w:r>
    </w:p>
    <w:p w14:paraId="25EBDA06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ochrony środowiska,</w:t>
      </w:r>
    </w:p>
    <w:p w14:paraId="6417D312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ochrony radiologicznej i bezpieczeństwa jądrowego,</w:t>
      </w:r>
    </w:p>
    <w:p w14:paraId="010950E7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bezpieczeństwa żywności i pasz,</w:t>
      </w:r>
    </w:p>
    <w:p w14:paraId="5D716EF4" w14:textId="264BE719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zdrowia i d</w:t>
      </w:r>
      <w:r w:rsidR="000B5BD2">
        <w:t>obro</w:t>
      </w:r>
      <w:r>
        <w:t>stanu zwierząt,</w:t>
      </w:r>
    </w:p>
    <w:p w14:paraId="63BA79F4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zdrowia publicznego,</w:t>
      </w:r>
    </w:p>
    <w:p w14:paraId="03E57FDA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ochrony konsumentów,</w:t>
      </w:r>
    </w:p>
    <w:p w14:paraId="16668B7D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ochrony prywatności i danych osobowych,</w:t>
      </w:r>
    </w:p>
    <w:p w14:paraId="77020436" w14:textId="77777777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bezpieczeństwa sieci i systemów teleinformatycznych,</w:t>
      </w:r>
    </w:p>
    <w:p w14:paraId="2368889A" w14:textId="7FB06555" w:rsidR="00F45A3F" w:rsidRDefault="00B92C0C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i</w:t>
      </w:r>
      <w:r w:rsidR="00F45A3F">
        <w:t>nteresów Skarbu Państwa, jednostek samorządu terytorialnego i UE,</w:t>
      </w:r>
    </w:p>
    <w:p w14:paraId="7C4D2E85" w14:textId="555EC64B" w:rsidR="00F45A3F" w:rsidRDefault="00F45A3F" w:rsidP="00C95A7F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rynku wewnętrznego UE, w tym publicznoprawnych zasad konkurencji i pomocy państwa oraz opodatkowania osób prawnych</w:t>
      </w:r>
      <w:r w:rsidR="000B5BD2">
        <w:t>,</w:t>
      </w:r>
    </w:p>
    <w:p w14:paraId="3CB88E22" w14:textId="6CD064FD" w:rsidR="00F45A3F" w:rsidRPr="00303294" w:rsidRDefault="00303294" w:rsidP="00303294">
      <w:pPr>
        <w:pStyle w:val="Akapitzlist"/>
        <w:numPr>
          <w:ilvl w:val="0"/>
          <w:numId w:val="4"/>
        </w:numPr>
        <w:spacing w:after="160" w:line="259" w:lineRule="auto"/>
        <w:jc w:val="both"/>
      </w:pPr>
      <w:r>
        <w:t>konstytucyjnych wolności i praw człowieka i obywatela w</w:t>
      </w:r>
      <w:r w:rsidR="00AF7B35">
        <w:t>y</w:t>
      </w:r>
      <w:r>
        <w:t>stępujących w stosunkach z organami władzy publicznej i niezwiązanym z dziedzinami powyżej.</w:t>
      </w:r>
    </w:p>
    <w:p w14:paraId="0F318605" w14:textId="77777777" w:rsidR="00F45A3F" w:rsidRPr="00CF7350" w:rsidRDefault="00F45A3F" w:rsidP="000B5BD2">
      <w:pPr>
        <w:jc w:val="center"/>
        <w:rPr>
          <w:b/>
        </w:rPr>
      </w:pPr>
      <w:r w:rsidRPr="00CF7350">
        <w:rPr>
          <w:rFonts w:cstheme="minorHAnsi"/>
          <w:b/>
        </w:rPr>
        <w:t>§</w:t>
      </w:r>
      <w:r>
        <w:rPr>
          <w:rFonts w:cstheme="minorHAnsi"/>
          <w:b/>
        </w:rPr>
        <w:t xml:space="preserve"> 5</w:t>
      </w:r>
    </w:p>
    <w:p w14:paraId="79EF3538" w14:textId="77777777" w:rsidR="00F45A3F" w:rsidRDefault="00F45A3F" w:rsidP="000B5BD2">
      <w:pPr>
        <w:jc w:val="center"/>
        <w:rPr>
          <w:rFonts w:cstheme="minorHAnsi"/>
          <w:b/>
        </w:rPr>
      </w:pPr>
      <w:r>
        <w:rPr>
          <w:rFonts w:cstheme="minorHAnsi"/>
          <w:b/>
        </w:rPr>
        <w:t>Podmiot zgłaszający</w:t>
      </w:r>
    </w:p>
    <w:p w14:paraId="68D9A984" w14:textId="4ABAF985" w:rsidR="00F45A3F" w:rsidRPr="000416F4" w:rsidRDefault="00F45A3F" w:rsidP="000B5BD2">
      <w:pPr>
        <w:jc w:val="both"/>
      </w:pPr>
      <w:r>
        <w:t>Wszelkie działania lub zaniechania niezgodne z prawem lub mające na celu obejście prawa w zakresie wskazanym</w:t>
      </w:r>
      <w:r w:rsidR="000B5BD2">
        <w:t xml:space="preserve">                           </w:t>
      </w:r>
      <w:r>
        <w:t xml:space="preserve"> w </w:t>
      </w:r>
      <w:r w:rsidRPr="00E33A55">
        <w:rPr>
          <w:rFonts w:cstheme="minorHAnsi"/>
        </w:rPr>
        <w:t>§</w:t>
      </w:r>
      <w:r>
        <w:t xml:space="preserve"> 4 proc</w:t>
      </w:r>
      <w:r w:rsidR="00AE6219">
        <w:t>edury mogą być zgłaszane przez:</w:t>
      </w:r>
    </w:p>
    <w:p w14:paraId="014916AE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kandydata ubiegającego się o zatrudnienie bez względu na podstawę prawną zatrudnienia,</w:t>
      </w:r>
    </w:p>
    <w:p w14:paraId="6BF7D000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pracownika,</w:t>
      </w:r>
    </w:p>
    <w:p w14:paraId="1CF37216" w14:textId="51E93238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 xml:space="preserve">byłego </w:t>
      </w:r>
      <w:r w:rsidR="00AE6219">
        <w:rPr>
          <w:rFonts w:eastAsia="Times New Roman" w:cs="Calibri"/>
          <w:lang w:eastAsia="pl-PL"/>
        </w:rPr>
        <w:t>pracownika lub współpracownika,</w:t>
      </w:r>
    </w:p>
    <w:p w14:paraId="426C6C2A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0416F4">
        <w:rPr>
          <w:rFonts w:eastAsia="Times New Roman" w:cs="Calibri"/>
          <w:lang w:eastAsia="pl-PL"/>
        </w:rPr>
        <w:t>pracownik</w:t>
      </w:r>
      <w:r>
        <w:rPr>
          <w:rFonts w:eastAsia="Times New Roman" w:cs="Calibri"/>
          <w:lang w:eastAsia="pl-PL"/>
        </w:rPr>
        <w:t>a tymczasowego,</w:t>
      </w:r>
    </w:p>
    <w:p w14:paraId="547E6D9C" w14:textId="77777777" w:rsidR="00F45A3F" w:rsidRPr="000416F4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stażystę,</w:t>
      </w:r>
    </w:p>
    <w:p w14:paraId="113FD829" w14:textId="6215AF55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osobę</w:t>
      </w:r>
      <w:r w:rsidRPr="000416F4">
        <w:rPr>
          <w:rFonts w:eastAsia="Times New Roman" w:cs="Calibri"/>
          <w:lang w:eastAsia="pl-PL"/>
        </w:rPr>
        <w:t xml:space="preserve"> świadcząca pracę na innej podstawie niż stosunek pracy, w tym na</w:t>
      </w:r>
      <w:r>
        <w:rPr>
          <w:rFonts w:eastAsia="Times New Roman" w:cs="Calibri"/>
          <w:lang w:eastAsia="pl-PL"/>
        </w:rPr>
        <w:t xml:space="preserve"> </w:t>
      </w:r>
      <w:r w:rsidR="00AE6219">
        <w:rPr>
          <w:rFonts w:eastAsia="Times New Roman" w:cs="Calibri"/>
          <w:lang w:eastAsia="pl-PL"/>
        </w:rPr>
        <w:t>podstawie umowy cywilnoprawnej,</w:t>
      </w:r>
    </w:p>
    <w:p w14:paraId="5954523E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przedsiębiorcę,</w:t>
      </w:r>
    </w:p>
    <w:p w14:paraId="12E3FAF4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prokurenta,</w:t>
      </w:r>
    </w:p>
    <w:p w14:paraId="4F1F21BB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wspólnika,</w:t>
      </w:r>
    </w:p>
    <w:p w14:paraId="785DDA86" w14:textId="7EC7A1A1" w:rsidR="00F45A3F" w:rsidRDefault="00AE6219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303294">
        <w:rPr>
          <w:rFonts w:eastAsia="Times New Roman" w:cs="Calibri"/>
          <w:lang w:eastAsia="pl-PL"/>
        </w:rPr>
        <w:t>człon</w:t>
      </w:r>
      <w:r w:rsidR="00F45A3F" w:rsidRPr="00303294">
        <w:rPr>
          <w:rFonts w:eastAsia="Times New Roman" w:cs="Calibri"/>
          <w:lang w:eastAsia="pl-PL"/>
        </w:rPr>
        <w:t>k</w:t>
      </w:r>
      <w:r w:rsidRPr="00303294">
        <w:rPr>
          <w:rFonts w:eastAsia="Times New Roman" w:cs="Calibri"/>
          <w:lang w:eastAsia="pl-PL"/>
        </w:rPr>
        <w:t>a</w:t>
      </w:r>
      <w:r w:rsidR="00F45A3F" w:rsidRPr="00303294">
        <w:rPr>
          <w:rFonts w:eastAsia="Times New Roman" w:cs="Calibri"/>
          <w:lang w:eastAsia="pl-PL"/>
        </w:rPr>
        <w:t xml:space="preserve"> </w:t>
      </w:r>
      <w:r w:rsidR="00F45A3F" w:rsidRPr="000416F4">
        <w:rPr>
          <w:rFonts w:eastAsia="Times New Roman" w:cs="Calibri"/>
          <w:lang w:eastAsia="pl-PL"/>
        </w:rPr>
        <w:t>organu osoby prawnej lub jednostki organizacyjnej nie</w:t>
      </w:r>
      <w:r w:rsidR="00F45A3F">
        <w:rPr>
          <w:rFonts w:eastAsia="Times New Roman" w:cs="Calibri"/>
          <w:lang w:eastAsia="pl-PL"/>
        </w:rPr>
        <w:t>posiadającej osobowości prawnej,</w:t>
      </w:r>
    </w:p>
    <w:p w14:paraId="43952D7B" w14:textId="05718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o</w:t>
      </w:r>
      <w:r w:rsidRPr="000416F4">
        <w:rPr>
          <w:rFonts w:eastAsia="Times New Roman" w:cs="Calibri"/>
          <w:lang w:eastAsia="pl-PL"/>
        </w:rPr>
        <w:t>sob</w:t>
      </w:r>
      <w:r>
        <w:rPr>
          <w:rFonts w:eastAsia="Times New Roman" w:cs="Calibri"/>
          <w:lang w:eastAsia="pl-PL"/>
        </w:rPr>
        <w:t>ę</w:t>
      </w:r>
      <w:r w:rsidRPr="000416F4">
        <w:rPr>
          <w:rFonts w:eastAsia="Times New Roman" w:cs="Calibri"/>
          <w:lang w:eastAsia="pl-PL"/>
        </w:rPr>
        <w:t xml:space="preserve"> świadcząca pracę pod nadzorem i kierownictwem wykon</w:t>
      </w:r>
      <w:r w:rsidR="00AE6219">
        <w:rPr>
          <w:rFonts w:eastAsia="Times New Roman" w:cs="Calibri"/>
          <w:lang w:eastAsia="pl-PL"/>
        </w:rPr>
        <w:t>awcy, podwykonawcy lub dostawcy,</w:t>
      </w:r>
    </w:p>
    <w:p w14:paraId="4CFEA99D" w14:textId="77777777" w:rsidR="00F45A3F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wolontariusza,</w:t>
      </w:r>
    </w:p>
    <w:p w14:paraId="60BDD562" w14:textId="77777777" w:rsidR="00F45A3F" w:rsidRPr="000416F4" w:rsidRDefault="00F45A3F" w:rsidP="00C95A7F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praktykanta.</w:t>
      </w:r>
    </w:p>
    <w:p w14:paraId="6DAFF946" w14:textId="77777777" w:rsidR="00F45A3F" w:rsidRDefault="00F45A3F" w:rsidP="000B5BD2">
      <w:pPr>
        <w:ind w:left="360"/>
        <w:jc w:val="both"/>
        <w:rPr>
          <w:rFonts w:cstheme="minorHAnsi"/>
          <w:b/>
        </w:rPr>
      </w:pPr>
    </w:p>
    <w:p w14:paraId="22686A94" w14:textId="77777777" w:rsidR="000B5BD2" w:rsidRDefault="000B5BD2" w:rsidP="000B5BD2">
      <w:pPr>
        <w:ind w:left="360"/>
        <w:jc w:val="both"/>
        <w:rPr>
          <w:rFonts w:cstheme="minorHAnsi"/>
          <w:b/>
        </w:rPr>
      </w:pPr>
    </w:p>
    <w:p w14:paraId="1100084E" w14:textId="77777777" w:rsidR="00040A21" w:rsidRDefault="00040A21" w:rsidP="000B5BD2">
      <w:pPr>
        <w:ind w:left="360"/>
        <w:jc w:val="center"/>
        <w:rPr>
          <w:rFonts w:cstheme="minorHAnsi"/>
          <w:b/>
        </w:rPr>
      </w:pPr>
    </w:p>
    <w:p w14:paraId="12FAE91F" w14:textId="7EF82713" w:rsidR="00F45A3F" w:rsidRPr="003F5581" w:rsidRDefault="00F45A3F" w:rsidP="000B5BD2">
      <w:pPr>
        <w:ind w:left="360"/>
        <w:jc w:val="center"/>
        <w:rPr>
          <w:b/>
        </w:rPr>
      </w:pPr>
      <w:r w:rsidRPr="003F5581">
        <w:rPr>
          <w:rFonts w:cstheme="minorHAnsi"/>
          <w:b/>
        </w:rPr>
        <w:lastRenderedPageBreak/>
        <w:t>§</w:t>
      </w:r>
      <w:r>
        <w:rPr>
          <w:rFonts w:cstheme="minorHAnsi"/>
          <w:b/>
        </w:rPr>
        <w:t xml:space="preserve"> 6</w:t>
      </w:r>
    </w:p>
    <w:p w14:paraId="3ECDF2F3" w14:textId="77777777" w:rsidR="00F45A3F" w:rsidRPr="003F5581" w:rsidRDefault="00F45A3F" w:rsidP="000B5BD2">
      <w:pPr>
        <w:jc w:val="center"/>
        <w:rPr>
          <w:b/>
        </w:rPr>
      </w:pPr>
      <w:r w:rsidRPr="003F5581">
        <w:rPr>
          <w:b/>
        </w:rPr>
        <w:t>Ochrona sygnalisty</w:t>
      </w:r>
    </w:p>
    <w:p w14:paraId="7DEE1FF4" w14:textId="4B0711E7" w:rsidR="00F45A3F" w:rsidRDefault="00F45A3F" w:rsidP="00C95A7F">
      <w:pPr>
        <w:pStyle w:val="Akapitzlist"/>
        <w:numPr>
          <w:ilvl w:val="0"/>
          <w:numId w:val="21"/>
        </w:numPr>
        <w:spacing w:after="160" w:line="259" w:lineRule="auto"/>
        <w:jc w:val="both"/>
      </w:pPr>
      <w:r>
        <w:t>Każdy sygnalista</w:t>
      </w:r>
      <w:r w:rsidR="00AE6219">
        <w:t>,</w:t>
      </w:r>
      <w:r>
        <w:t xml:space="preserve"> dokonując zgłoszenia</w:t>
      </w:r>
      <w:r w:rsidR="00AE6219">
        <w:t>,</w:t>
      </w:r>
      <w:r>
        <w:t xml:space="preserve"> podlega ochronie od chwili zgłoszenia, pod warunkiem</w:t>
      </w:r>
      <w:r w:rsidR="000B5BD2">
        <w:t>,</w:t>
      </w:r>
      <w:r>
        <w:t xml:space="preserve"> że miał uzasadnione podstawy sądzić, iż informacja będąca przedmiotem zgłoszenia jest prawdziwa w momencie zgłoszenia oraz że stanowi informację o naruszenia prawa.</w:t>
      </w:r>
    </w:p>
    <w:p w14:paraId="334CBF04" w14:textId="570BAE0F" w:rsidR="00F45A3F" w:rsidRDefault="00F45A3F" w:rsidP="00C95A7F">
      <w:pPr>
        <w:pStyle w:val="Akapitzlist"/>
        <w:numPr>
          <w:ilvl w:val="0"/>
          <w:numId w:val="21"/>
        </w:numPr>
        <w:spacing w:after="160" w:line="259" w:lineRule="auto"/>
        <w:jc w:val="both"/>
      </w:pPr>
      <w:r>
        <w:t>Takiej samej ochronie jak sygnalista podlegają także osoby związane z sygnalistą oraz osoby pomagające sygna</w:t>
      </w:r>
      <w:r w:rsidR="00AE6219">
        <w:t>liście  w dokonaniu zgłoszenia.</w:t>
      </w:r>
    </w:p>
    <w:p w14:paraId="2248BB2C" w14:textId="77777777" w:rsidR="00F45A3F" w:rsidRDefault="00F45A3F" w:rsidP="00C95A7F">
      <w:pPr>
        <w:pStyle w:val="Akapitzlist"/>
        <w:numPr>
          <w:ilvl w:val="0"/>
          <w:numId w:val="21"/>
        </w:numPr>
        <w:spacing w:after="160" w:line="259" w:lineRule="auto"/>
        <w:jc w:val="both"/>
      </w:pPr>
      <w:r>
        <w:t>Ochrona sygnalisty obejmuje ochronę:</w:t>
      </w:r>
    </w:p>
    <w:p w14:paraId="5B413BBC" w14:textId="7A6C7334" w:rsidR="00F45A3F" w:rsidRDefault="00F45A3F" w:rsidP="00C95A7F">
      <w:pPr>
        <w:pStyle w:val="Akapitzlist"/>
        <w:numPr>
          <w:ilvl w:val="0"/>
          <w:numId w:val="24"/>
        </w:numPr>
        <w:spacing w:after="160" w:line="259" w:lineRule="auto"/>
        <w:jc w:val="both"/>
      </w:pPr>
      <w:r>
        <w:t>przed ujawnieniem tożsamości sygnalisty osobom nieupoważnionym</w:t>
      </w:r>
      <w:r w:rsidR="00AE6219">
        <w:t>,</w:t>
      </w:r>
      <w:r>
        <w:t xml:space="preserve"> w szczególności osobie, której dotyczy zgłoszenie,</w:t>
      </w:r>
    </w:p>
    <w:p w14:paraId="709D7056" w14:textId="01CB1721" w:rsidR="00F45A3F" w:rsidRDefault="00F45A3F" w:rsidP="00C95A7F">
      <w:pPr>
        <w:pStyle w:val="Akapitzlist"/>
        <w:numPr>
          <w:ilvl w:val="0"/>
          <w:numId w:val="24"/>
        </w:numPr>
        <w:spacing w:after="160" w:line="259" w:lineRule="auto"/>
        <w:jc w:val="both"/>
      </w:pPr>
      <w:r>
        <w:t>przed dyskrymina</w:t>
      </w:r>
      <w:r w:rsidR="00AE6219">
        <w:t>cją bezpośrednią lub pośrednią,</w:t>
      </w:r>
    </w:p>
    <w:p w14:paraId="62EB99A9" w14:textId="6742FEE3" w:rsidR="00F45A3F" w:rsidRPr="00303294" w:rsidRDefault="00AE6219" w:rsidP="00C95A7F">
      <w:pPr>
        <w:pStyle w:val="Akapitzlist"/>
        <w:numPr>
          <w:ilvl w:val="0"/>
          <w:numId w:val="24"/>
        </w:numPr>
        <w:spacing w:after="160" w:line="259" w:lineRule="auto"/>
        <w:jc w:val="both"/>
      </w:pPr>
      <w:r w:rsidRPr="00303294">
        <w:t xml:space="preserve">przed </w:t>
      </w:r>
      <w:r w:rsidR="00F45A3F" w:rsidRPr="00303294">
        <w:t>groźbą,</w:t>
      </w:r>
    </w:p>
    <w:p w14:paraId="0372E381" w14:textId="103949A0" w:rsidR="00F45A3F" w:rsidRPr="00303294" w:rsidRDefault="00AE6219" w:rsidP="00C95A7F">
      <w:pPr>
        <w:pStyle w:val="Akapitzlist"/>
        <w:numPr>
          <w:ilvl w:val="0"/>
          <w:numId w:val="24"/>
        </w:numPr>
        <w:spacing w:after="160" w:line="259" w:lineRule="auto"/>
        <w:jc w:val="both"/>
      </w:pPr>
      <w:r w:rsidRPr="00303294">
        <w:t xml:space="preserve">przed </w:t>
      </w:r>
      <w:r w:rsidR="00F45A3F" w:rsidRPr="00303294">
        <w:t xml:space="preserve">innymi rodzajami niesprawiedliwego traktowania, prześladowania, </w:t>
      </w:r>
      <w:proofErr w:type="spellStart"/>
      <w:r w:rsidR="00F45A3F" w:rsidRPr="00303294">
        <w:t>mobbingu</w:t>
      </w:r>
      <w:proofErr w:type="spellEnd"/>
      <w:r w:rsidR="00F45A3F" w:rsidRPr="00303294">
        <w:t>,</w:t>
      </w:r>
    </w:p>
    <w:p w14:paraId="698E900C" w14:textId="08C7F83A" w:rsidR="00F45A3F" w:rsidRPr="00303294" w:rsidRDefault="00F45A3F" w:rsidP="00C95A7F">
      <w:pPr>
        <w:pStyle w:val="Akapitzlist"/>
        <w:numPr>
          <w:ilvl w:val="0"/>
          <w:numId w:val="24"/>
        </w:numPr>
        <w:spacing w:after="160" w:line="259" w:lineRule="auto"/>
        <w:jc w:val="both"/>
      </w:pPr>
      <w:r w:rsidRPr="00303294">
        <w:t>przed jakąkolwiek formą presji mającą na celu zmuszenie sygnalisty do odwołania zgłoszenia, w tym kierowaną przeciwko innym osobom z zamiarem wywołania wpływu na sygnalistę, w tym m</w:t>
      </w:r>
      <w:r w:rsidR="001D0C0D" w:rsidRPr="00303294">
        <w:t>.</w:t>
      </w:r>
      <w:r w:rsidRPr="00303294">
        <w:t>in. wywieraną poprzez presję finansową, organizacyjną, ograniczania praw i przywilejów pracowniczych,</w:t>
      </w:r>
    </w:p>
    <w:p w14:paraId="1D390171" w14:textId="7A8A6DEC" w:rsidR="00F45A3F" w:rsidRPr="00303294" w:rsidRDefault="001D0C0D" w:rsidP="00C95A7F">
      <w:pPr>
        <w:pStyle w:val="Akapitzlist"/>
        <w:numPr>
          <w:ilvl w:val="0"/>
          <w:numId w:val="24"/>
        </w:numPr>
        <w:spacing w:after="160" w:line="259" w:lineRule="auto"/>
        <w:jc w:val="both"/>
      </w:pPr>
      <w:r w:rsidRPr="00303294">
        <w:t xml:space="preserve">przed </w:t>
      </w:r>
      <w:r w:rsidR="00F45A3F" w:rsidRPr="00303294">
        <w:t>jakąkolwiek inn</w:t>
      </w:r>
      <w:r w:rsidR="00AE6219" w:rsidRPr="00303294">
        <w:t>ą formą nieuprawnionego odwetu.</w:t>
      </w:r>
    </w:p>
    <w:p w14:paraId="2EF900CD" w14:textId="134F6D62" w:rsidR="00F45A3F" w:rsidRDefault="00F45A3F" w:rsidP="00C95A7F">
      <w:pPr>
        <w:pStyle w:val="Akapitzlist"/>
        <w:numPr>
          <w:ilvl w:val="0"/>
          <w:numId w:val="21"/>
        </w:numPr>
        <w:spacing w:after="160" w:line="259" w:lineRule="auto"/>
        <w:jc w:val="both"/>
      </w:pPr>
      <w:r w:rsidRPr="00303294">
        <w:t xml:space="preserve">Ochronie przewidzianej </w:t>
      </w:r>
      <w:r>
        <w:t>w procedurze nie podlega osoba, która</w:t>
      </w:r>
      <w:r w:rsidR="001D0C0D">
        <w:t xml:space="preserve"> dokonuje zgłoszenia,</w:t>
      </w:r>
      <w:r>
        <w:t xml:space="preserve"> wiedząc, że do naruszenia praw</w:t>
      </w:r>
      <w:r w:rsidR="001D0C0D">
        <w:t>a nie doszło</w:t>
      </w:r>
      <w:r>
        <w:t>. Takie zgłoszenie może wypełniać znamiona z art. 57 ustawy o ochronie sygnalistów, zagrożonego grzywną, karą ograniczenia wolności albo</w:t>
      </w:r>
      <w:r w:rsidR="00FE071E">
        <w:t xml:space="preserve"> pozbawienia wolności do lat 2.</w:t>
      </w:r>
    </w:p>
    <w:p w14:paraId="21A08D85" w14:textId="77777777" w:rsidR="00F45A3F" w:rsidRDefault="00F45A3F" w:rsidP="000B5BD2">
      <w:pPr>
        <w:jc w:val="both"/>
        <w:rPr>
          <w:rFonts w:cstheme="minorHAnsi"/>
        </w:rPr>
      </w:pPr>
    </w:p>
    <w:p w14:paraId="2761E103" w14:textId="77777777" w:rsidR="00F45A3F" w:rsidRPr="00E22BAF" w:rsidRDefault="00F45A3F" w:rsidP="000B5BD2">
      <w:pPr>
        <w:jc w:val="center"/>
        <w:rPr>
          <w:b/>
          <w:bCs/>
        </w:rPr>
      </w:pPr>
      <w:r w:rsidRPr="00E22BAF">
        <w:rPr>
          <w:rFonts w:cstheme="minorHAnsi"/>
          <w:b/>
          <w:bCs/>
        </w:rPr>
        <w:t>§</w:t>
      </w:r>
      <w:r w:rsidRPr="00E22BAF">
        <w:rPr>
          <w:b/>
          <w:bCs/>
        </w:rPr>
        <w:t xml:space="preserve"> </w:t>
      </w:r>
      <w:r>
        <w:rPr>
          <w:b/>
          <w:bCs/>
        </w:rPr>
        <w:t>7</w:t>
      </w:r>
    </w:p>
    <w:p w14:paraId="710204AE" w14:textId="7DB37FEC" w:rsidR="00F45A3F" w:rsidRDefault="00FE071E" w:rsidP="000B5BD2">
      <w:pPr>
        <w:jc w:val="center"/>
        <w:rPr>
          <w:b/>
        </w:rPr>
      </w:pPr>
      <w:r>
        <w:rPr>
          <w:b/>
        </w:rPr>
        <w:t xml:space="preserve">Zespół do </w:t>
      </w:r>
      <w:r w:rsidRPr="00303294">
        <w:rPr>
          <w:b/>
        </w:rPr>
        <w:t>Spraw Z</w:t>
      </w:r>
      <w:r w:rsidR="00F45A3F" w:rsidRPr="00303294">
        <w:rPr>
          <w:b/>
        </w:rPr>
        <w:t>godności</w:t>
      </w:r>
    </w:p>
    <w:p w14:paraId="757A8A2F" w14:textId="2898B067" w:rsidR="00F45A3F" w:rsidRPr="00303294" w:rsidRDefault="00F45A3F" w:rsidP="00C95A7F">
      <w:pPr>
        <w:pStyle w:val="Akapitzlist"/>
        <w:numPr>
          <w:ilvl w:val="0"/>
          <w:numId w:val="8"/>
        </w:numPr>
        <w:spacing w:after="160" w:line="259" w:lineRule="auto"/>
        <w:jc w:val="both"/>
      </w:pPr>
      <w:r>
        <w:t>Spółka pow</w:t>
      </w:r>
      <w:r w:rsidR="00FE071E">
        <w:t xml:space="preserve">ołuje </w:t>
      </w:r>
      <w:r w:rsidR="00FE071E" w:rsidRPr="00303294">
        <w:t>Zespół do Spraw Z</w:t>
      </w:r>
      <w:r w:rsidR="001D0C0D" w:rsidRPr="00303294">
        <w:t>godności,</w:t>
      </w:r>
      <w:r w:rsidRPr="00303294">
        <w:t xml:space="preserve"> w skład którego wchodzą:</w:t>
      </w:r>
    </w:p>
    <w:p w14:paraId="79141A64" w14:textId="77777777" w:rsidR="00F45A3F" w:rsidRPr="00303294" w:rsidRDefault="00F45A3F" w:rsidP="000B5BD2">
      <w:pPr>
        <w:pStyle w:val="Akapitzlist"/>
        <w:jc w:val="both"/>
      </w:pPr>
      <w:r w:rsidRPr="00303294">
        <w:t>Ewa Bujak,</w:t>
      </w:r>
    </w:p>
    <w:p w14:paraId="13456F22" w14:textId="77777777" w:rsidR="00F45A3F" w:rsidRPr="00303294" w:rsidRDefault="00F45A3F" w:rsidP="000B5BD2">
      <w:pPr>
        <w:pStyle w:val="Akapitzlist"/>
        <w:jc w:val="both"/>
      </w:pPr>
      <w:r w:rsidRPr="00303294">
        <w:t>Patrycja Zawadzka,</w:t>
      </w:r>
    </w:p>
    <w:p w14:paraId="69C5281E" w14:textId="77777777" w:rsidR="00F45A3F" w:rsidRPr="00303294" w:rsidRDefault="00F45A3F" w:rsidP="000B5BD2">
      <w:pPr>
        <w:pStyle w:val="Akapitzlist"/>
        <w:jc w:val="both"/>
      </w:pPr>
      <w:r w:rsidRPr="00303294">
        <w:t>Wojciech Frąszczak,</w:t>
      </w:r>
    </w:p>
    <w:p w14:paraId="4BA0ECA7" w14:textId="77777777" w:rsidR="00F45A3F" w:rsidRPr="00303294" w:rsidRDefault="00F45A3F" w:rsidP="000B5BD2">
      <w:pPr>
        <w:pStyle w:val="Akapitzlist"/>
        <w:jc w:val="both"/>
      </w:pPr>
      <w:r w:rsidRPr="00303294">
        <w:t>Sergiusz Wróbel,</w:t>
      </w:r>
    </w:p>
    <w:p w14:paraId="77A38FC4" w14:textId="67C6A0CA" w:rsidR="00F45A3F" w:rsidRPr="00303294" w:rsidRDefault="001D0C0D" w:rsidP="000B5BD2">
      <w:pPr>
        <w:pStyle w:val="Akapitzlist"/>
        <w:jc w:val="both"/>
      </w:pPr>
      <w:r w:rsidRPr="00303294">
        <w:t>Zbigniew Czernecki.</w:t>
      </w:r>
    </w:p>
    <w:p w14:paraId="58CF4EE2" w14:textId="771D9521" w:rsidR="00F45A3F" w:rsidRPr="00303294" w:rsidRDefault="00F45A3F" w:rsidP="00C95A7F">
      <w:pPr>
        <w:pStyle w:val="Akapitzlist"/>
        <w:numPr>
          <w:ilvl w:val="0"/>
          <w:numId w:val="8"/>
        </w:numPr>
        <w:spacing w:after="160" w:line="259" w:lineRule="auto"/>
        <w:jc w:val="both"/>
      </w:pPr>
      <w:r w:rsidRPr="00303294">
        <w:t>Do zadań</w:t>
      </w:r>
      <w:r w:rsidR="00176C85" w:rsidRPr="00303294">
        <w:t xml:space="preserve"> Zespołu należy:</w:t>
      </w:r>
    </w:p>
    <w:p w14:paraId="24121789" w14:textId="77777777" w:rsidR="00F45A3F" w:rsidRPr="00303294" w:rsidRDefault="00F45A3F" w:rsidP="00C95A7F">
      <w:pPr>
        <w:pStyle w:val="Akapitzlist"/>
        <w:numPr>
          <w:ilvl w:val="0"/>
          <w:numId w:val="13"/>
        </w:numPr>
        <w:spacing w:after="160" w:line="259" w:lineRule="auto"/>
        <w:jc w:val="both"/>
      </w:pPr>
      <w:r w:rsidRPr="00303294">
        <w:t>przyjmowanie zgłoszeń wewnętrznych,</w:t>
      </w:r>
    </w:p>
    <w:p w14:paraId="651D97AB" w14:textId="77777777" w:rsidR="00F45A3F" w:rsidRPr="00303294" w:rsidRDefault="00F45A3F" w:rsidP="00C95A7F">
      <w:pPr>
        <w:pStyle w:val="Akapitzlist"/>
        <w:numPr>
          <w:ilvl w:val="0"/>
          <w:numId w:val="13"/>
        </w:numPr>
        <w:spacing w:after="160" w:line="259" w:lineRule="auto"/>
        <w:jc w:val="both"/>
      </w:pPr>
      <w:r w:rsidRPr="00303294">
        <w:t>potwierdzenie sygnalistom przyjęcia zgłoszenia,</w:t>
      </w:r>
    </w:p>
    <w:p w14:paraId="3B505E1A" w14:textId="633313EC" w:rsidR="00F45A3F" w:rsidRPr="00303294" w:rsidRDefault="00F45A3F" w:rsidP="00C95A7F">
      <w:pPr>
        <w:pStyle w:val="Akapitzlist"/>
        <w:numPr>
          <w:ilvl w:val="0"/>
          <w:numId w:val="13"/>
        </w:numPr>
        <w:spacing w:after="160" w:line="259" w:lineRule="auto"/>
        <w:jc w:val="both"/>
      </w:pPr>
      <w:r w:rsidRPr="00303294">
        <w:t>ustalenie składu Komisji Wyjaśniającej, odpowiedzialnej za działania następcze dla</w:t>
      </w:r>
      <w:r w:rsidR="001D0C0D" w:rsidRPr="00303294">
        <w:t xml:space="preserve"> każdego przypadku sygnalizacji.</w:t>
      </w:r>
    </w:p>
    <w:p w14:paraId="1536E344" w14:textId="6B024A76" w:rsidR="00F45A3F" w:rsidRDefault="001D0C0D" w:rsidP="00C95A7F">
      <w:pPr>
        <w:pStyle w:val="Akapitzlist"/>
        <w:numPr>
          <w:ilvl w:val="0"/>
          <w:numId w:val="8"/>
        </w:numPr>
        <w:spacing w:after="160" w:line="259" w:lineRule="auto"/>
        <w:jc w:val="both"/>
      </w:pPr>
      <w:r w:rsidRPr="00303294">
        <w:t>W przypadku gdy</w:t>
      </w:r>
      <w:r w:rsidR="00F45A3F" w:rsidRPr="00303294">
        <w:t xml:space="preserve"> zgłoszenie informacji o naruszeniu prawa dotyczy </w:t>
      </w:r>
      <w:r w:rsidR="00FE071E" w:rsidRPr="00303294">
        <w:t>któregoś z członków Zespołu do Spraw Z</w:t>
      </w:r>
      <w:r w:rsidR="00F45A3F" w:rsidRPr="00303294">
        <w:t>godności</w:t>
      </w:r>
      <w:r w:rsidRPr="00303294">
        <w:t>,</w:t>
      </w:r>
      <w:r w:rsidR="00F45A3F" w:rsidRPr="00303294">
        <w:t xml:space="preserve"> o sprawie należy niezwłocznie powiadomić Zarząd Spółki oraz p</w:t>
      </w:r>
      <w:r w:rsidR="00FE071E" w:rsidRPr="00303294">
        <w:t>ozostałych członków Zespołu do Spraw Z</w:t>
      </w:r>
      <w:r w:rsidR="00F45A3F" w:rsidRPr="00303294">
        <w:t>godności</w:t>
      </w:r>
      <w:r w:rsidRPr="00303294">
        <w:t>,</w:t>
      </w:r>
      <w:r w:rsidR="00F45A3F" w:rsidRPr="00303294">
        <w:t xml:space="preserve"> z pominięciem członka, którego dotyczy zgłoszenie. P</w:t>
      </w:r>
      <w:r w:rsidR="00FE071E" w:rsidRPr="00303294">
        <w:t>ozostali członkowie Zespołu do Spraw Z</w:t>
      </w:r>
      <w:r w:rsidR="00F45A3F" w:rsidRPr="00303294">
        <w:t>godnoś</w:t>
      </w:r>
      <w:r w:rsidR="00FE071E" w:rsidRPr="00303294">
        <w:t>ci zobowiązani są do zapewnienia</w:t>
      </w:r>
      <w:r w:rsidR="00F45A3F" w:rsidRPr="00303294">
        <w:t xml:space="preserve"> szczególnych </w:t>
      </w:r>
      <w:r w:rsidR="00F45A3F">
        <w:t>środków</w:t>
      </w:r>
      <w:r>
        <w:t xml:space="preserve"> ochrony tożsamości sygnalisty.</w:t>
      </w:r>
    </w:p>
    <w:p w14:paraId="75B956AE" w14:textId="2082B563" w:rsidR="00F45A3F" w:rsidRPr="009570E2" w:rsidRDefault="00EE4DB1" w:rsidP="00C95A7F">
      <w:pPr>
        <w:pStyle w:val="Akapitzlist"/>
        <w:numPr>
          <w:ilvl w:val="0"/>
          <w:numId w:val="8"/>
        </w:numPr>
        <w:spacing w:after="160" w:line="259" w:lineRule="auto"/>
        <w:jc w:val="both"/>
      </w:pPr>
      <w:r>
        <w:t>Wszyscy członkowie Zespołu do Spraw Z</w:t>
      </w:r>
      <w:r w:rsidR="00F45A3F">
        <w:t>godności posiadają pisemne upoważnienie Spółki do przyjmowania  zgłoszeń, przetwarzania danych osobowych oraz zobowiązani z</w:t>
      </w:r>
      <w:r w:rsidR="00176C85">
        <w:t>ostają do zachowania poufności.</w:t>
      </w:r>
    </w:p>
    <w:p w14:paraId="623F4D24" w14:textId="77777777" w:rsidR="00F45A3F" w:rsidRDefault="00F45A3F" w:rsidP="000B5BD2">
      <w:pPr>
        <w:jc w:val="both"/>
        <w:rPr>
          <w:rFonts w:cstheme="minorHAnsi"/>
          <w:b/>
        </w:rPr>
      </w:pPr>
    </w:p>
    <w:p w14:paraId="06B913D2" w14:textId="77777777" w:rsidR="000B5BD2" w:rsidRDefault="000B5BD2" w:rsidP="000B5BD2">
      <w:pPr>
        <w:jc w:val="both"/>
        <w:rPr>
          <w:rFonts w:cstheme="minorHAnsi"/>
          <w:b/>
        </w:rPr>
      </w:pPr>
    </w:p>
    <w:p w14:paraId="1E6AAC56" w14:textId="77777777" w:rsidR="000B5BD2" w:rsidRDefault="000B5BD2" w:rsidP="000B5BD2">
      <w:pPr>
        <w:jc w:val="both"/>
        <w:rPr>
          <w:rFonts w:cstheme="minorHAnsi"/>
          <w:b/>
        </w:rPr>
      </w:pPr>
    </w:p>
    <w:p w14:paraId="317F48B4" w14:textId="053A08A7" w:rsidR="00F45A3F" w:rsidRPr="00CF7350" w:rsidRDefault="00F45A3F" w:rsidP="000B5BD2">
      <w:pPr>
        <w:jc w:val="center"/>
        <w:rPr>
          <w:b/>
        </w:rPr>
      </w:pPr>
      <w:r w:rsidRPr="00CF7350">
        <w:rPr>
          <w:rFonts w:cstheme="minorHAnsi"/>
          <w:b/>
        </w:rPr>
        <w:lastRenderedPageBreak/>
        <w:t>§</w:t>
      </w:r>
      <w:r>
        <w:rPr>
          <w:rFonts w:cstheme="minorHAnsi"/>
          <w:b/>
        </w:rPr>
        <w:t xml:space="preserve"> 8</w:t>
      </w:r>
    </w:p>
    <w:p w14:paraId="7B14E712" w14:textId="7D622586" w:rsidR="00F45A3F" w:rsidRPr="00CF7350" w:rsidRDefault="00F45A3F" w:rsidP="000B5BD2">
      <w:pPr>
        <w:jc w:val="center"/>
        <w:rPr>
          <w:b/>
        </w:rPr>
      </w:pPr>
      <w:r w:rsidRPr="00CF7350">
        <w:rPr>
          <w:b/>
        </w:rPr>
        <w:t>Zgłoszenie</w:t>
      </w:r>
    </w:p>
    <w:p w14:paraId="6BF19AE4" w14:textId="77777777" w:rsidR="00F45A3F" w:rsidRPr="00303294" w:rsidRDefault="00F45A3F" w:rsidP="00C95A7F">
      <w:pPr>
        <w:pStyle w:val="Akapitzlist"/>
        <w:numPr>
          <w:ilvl w:val="0"/>
          <w:numId w:val="11"/>
        </w:numPr>
        <w:spacing w:after="160" w:line="259" w:lineRule="auto"/>
        <w:jc w:val="both"/>
      </w:pPr>
      <w:r>
        <w:t xml:space="preserve">Zgłoszenie </w:t>
      </w:r>
      <w:r w:rsidRPr="00303294">
        <w:t>informacji o naruszeniu prawa powinno zawierać:</w:t>
      </w:r>
    </w:p>
    <w:p w14:paraId="2ED018B0" w14:textId="77777777" w:rsidR="00F45A3F" w:rsidRPr="00303294" w:rsidRDefault="00F45A3F" w:rsidP="00C95A7F">
      <w:pPr>
        <w:pStyle w:val="Akapitzlist"/>
        <w:numPr>
          <w:ilvl w:val="0"/>
          <w:numId w:val="10"/>
        </w:numPr>
        <w:spacing w:after="160" w:line="259" w:lineRule="auto"/>
        <w:jc w:val="both"/>
      </w:pPr>
      <w:r w:rsidRPr="00303294">
        <w:t>dane osoby zgłaszającej,</w:t>
      </w:r>
    </w:p>
    <w:p w14:paraId="004FD528" w14:textId="2667F797" w:rsidR="00F45A3F" w:rsidRPr="00303294" w:rsidRDefault="00F45A3F" w:rsidP="00C95A7F">
      <w:pPr>
        <w:pStyle w:val="Akapitzlist"/>
        <w:numPr>
          <w:ilvl w:val="0"/>
          <w:numId w:val="10"/>
        </w:numPr>
        <w:spacing w:after="160" w:line="259" w:lineRule="auto"/>
        <w:jc w:val="both"/>
      </w:pPr>
      <w:r w:rsidRPr="00303294">
        <w:t>adres korespondencyjny zgłaszającego</w:t>
      </w:r>
      <w:r w:rsidR="00176C85" w:rsidRPr="00303294">
        <w:t xml:space="preserve"> lub adres poczty elektronicznej</w:t>
      </w:r>
      <w:r w:rsidRPr="00303294">
        <w:t>,</w:t>
      </w:r>
    </w:p>
    <w:p w14:paraId="11B1225F" w14:textId="67B09E0F" w:rsidR="00F45A3F" w:rsidRPr="00303294" w:rsidRDefault="00176C85" w:rsidP="00C95A7F">
      <w:pPr>
        <w:pStyle w:val="Akapitzlist"/>
        <w:numPr>
          <w:ilvl w:val="0"/>
          <w:numId w:val="10"/>
        </w:numPr>
        <w:spacing w:after="160" w:line="259" w:lineRule="auto"/>
        <w:jc w:val="both"/>
      </w:pPr>
      <w:r w:rsidRPr="00303294">
        <w:t>informację</w:t>
      </w:r>
      <w:r w:rsidR="00F45A3F" w:rsidRPr="00303294">
        <w:t xml:space="preserve"> o naruszeniu prawa,</w:t>
      </w:r>
    </w:p>
    <w:p w14:paraId="53804AE3" w14:textId="07B1F160" w:rsidR="00F45A3F" w:rsidRPr="00303294" w:rsidRDefault="00176C85" w:rsidP="00C95A7F">
      <w:pPr>
        <w:pStyle w:val="Akapitzlist"/>
        <w:numPr>
          <w:ilvl w:val="0"/>
          <w:numId w:val="10"/>
        </w:numPr>
        <w:spacing w:after="160" w:line="259" w:lineRule="auto"/>
        <w:jc w:val="both"/>
      </w:pPr>
      <w:r w:rsidRPr="00303294">
        <w:t>dane osoby/</w:t>
      </w:r>
      <w:r w:rsidR="00F45A3F" w:rsidRPr="00303294">
        <w:t>osób</w:t>
      </w:r>
      <w:r w:rsidRPr="00303294">
        <w:t>,</w:t>
      </w:r>
      <w:r w:rsidR="00F45A3F" w:rsidRPr="00303294">
        <w:t xml:space="preserve"> której</w:t>
      </w:r>
      <w:r w:rsidRPr="00303294">
        <w:t>/których</w:t>
      </w:r>
      <w:r w:rsidR="00F45A3F" w:rsidRPr="00303294">
        <w:t xml:space="preserve"> naruszenie dotyczy,</w:t>
      </w:r>
    </w:p>
    <w:p w14:paraId="7BC5CD65" w14:textId="34342A36" w:rsidR="00F45A3F" w:rsidRPr="00303294" w:rsidRDefault="00176C85" w:rsidP="00C95A7F">
      <w:pPr>
        <w:pStyle w:val="Akapitzlist"/>
        <w:numPr>
          <w:ilvl w:val="0"/>
          <w:numId w:val="11"/>
        </w:numPr>
        <w:spacing w:after="160" w:line="259" w:lineRule="auto"/>
        <w:jc w:val="both"/>
      </w:pPr>
      <w:r w:rsidRPr="00303294">
        <w:t>Anonimowe zgłoszenia informacji</w:t>
      </w:r>
      <w:r w:rsidR="00F45A3F" w:rsidRPr="00303294">
        <w:t xml:space="preserve"> o naruszenia prawa nie będą przez Spółkę rozpatrywane.</w:t>
      </w:r>
    </w:p>
    <w:p w14:paraId="6E65936D" w14:textId="602F86F0" w:rsidR="00F45A3F" w:rsidRPr="00303294" w:rsidRDefault="00F45A3F" w:rsidP="00C95A7F">
      <w:pPr>
        <w:pStyle w:val="Akapitzlist"/>
        <w:numPr>
          <w:ilvl w:val="0"/>
          <w:numId w:val="11"/>
        </w:numPr>
        <w:spacing w:after="160" w:line="259" w:lineRule="auto"/>
        <w:jc w:val="both"/>
      </w:pPr>
      <w:r w:rsidRPr="00303294">
        <w:t xml:space="preserve">Wzór zgłoszenia stanowi </w:t>
      </w:r>
      <w:r w:rsidRPr="00303294">
        <w:rPr>
          <w:b/>
          <w:bCs/>
        </w:rPr>
        <w:t xml:space="preserve">załącznik nr 1 </w:t>
      </w:r>
      <w:r w:rsidR="00176C85" w:rsidRPr="00303294">
        <w:t>do niniejszej procedury.</w:t>
      </w:r>
    </w:p>
    <w:p w14:paraId="49D5A0A0" w14:textId="77777777" w:rsidR="00F45A3F" w:rsidRDefault="00F45A3F" w:rsidP="000B5BD2">
      <w:pPr>
        <w:jc w:val="both"/>
      </w:pPr>
    </w:p>
    <w:p w14:paraId="238006D9" w14:textId="77777777" w:rsidR="00F45A3F" w:rsidRPr="00A61D82" w:rsidRDefault="00F45A3F" w:rsidP="000B5BD2">
      <w:pPr>
        <w:jc w:val="center"/>
        <w:rPr>
          <w:b/>
        </w:rPr>
      </w:pPr>
      <w:r w:rsidRPr="00A61D82">
        <w:rPr>
          <w:rFonts w:cstheme="minorHAnsi"/>
          <w:b/>
        </w:rPr>
        <w:t>§</w:t>
      </w:r>
      <w:r w:rsidRPr="00A61D82">
        <w:rPr>
          <w:b/>
        </w:rPr>
        <w:t xml:space="preserve"> </w:t>
      </w:r>
      <w:r>
        <w:rPr>
          <w:b/>
        </w:rPr>
        <w:t>9</w:t>
      </w:r>
    </w:p>
    <w:p w14:paraId="01937BD1" w14:textId="39466E0E" w:rsidR="00F45A3F" w:rsidRPr="00A61D82" w:rsidRDefault="00F45A3F" w:rsidP="000B5BD2">
      <w:pPr>
        <w:jc w:val="center"/>
        <w:rPr>
          <w:b/>
        </w:rPr>
      </w:pPr>
      <w:r w:rsidRPr="00A61D82">
        <w:rPr>
          <w:b/>
        </w:rPr>
        <w:t>Sposób zgłaszania</w:t>
      </w:r>
    </w:p>
    <w:p w14:paraId="1201B142" w14:textId="77777777" w:rsidR="00F45A3F" w:rsidRDefault="00F45A3F" w:rsidP="00C95A7F">
      <w:pPr>
        <w:pStyle w:val="Akapitzlist"/>
        <w:numPr>
          <w:ilvl w:val="0"/>
          <w:numId w:val="5"/>
        </w:numPr>
        <w:spacing w:after="160" w:line="259" w:lineRule="auto"/>
        <w:jc w:val="both"/>
      </w:pPr>
      <w:r>
        <w:t>Zgłoszenie można przekazać w następujący sposób:</w:t>
      </w:r>
    </w:p>
    <w:p w14:paraId="65F9EA85" w14:textId="58896459" w:rsidR="00F45A3F" w:rsidRDefault="00F45A3F" w:rsidP="00C95A7F">
      <w:pPr>
        <w:pStyle w:val="Akapitzlist"/>
        <w:numPr>
          <w:ilvl w:val="0"/>
          <w:numId w:val="19"/>
        </w:numPr>
        <w:spacing w:after="160" w:line="259" w:lineRule="auto"/>
        <w:jc w:val="both"/>
      </w:pPr>
      <w:r w:rsidRPr="00E33A55">
        <w:rPr>
          <w:b/>
        </w:rPr>
        <w:t>elektronicznie</w:t>
      </w:r>
      <w:r>
        <w:t xml:space="preserve"> za pośrednictwem adres</w:t>
      </w:r>
      <w:r w:rsidR="00EE4DB1">
        <w:t>u e-</w:t>
      </w:r>
      <w:r>
        <w:t xml:space="preserve">mail: </w:t>
      </w:r>
      <w:hyperlink r:id="rId8" w:history="1">
        <w:r w:rsidRPr="006D02AD">
          <w:rPr>
            <w:rStyle w:val="Hipercze"/>
          </w:rPr>
          <w:t>sygnalista@merida.pl</w:t>
        </w:r>
      </w:hyperlink>
      <w:r w:rsidR="00176C85">
        <w:t>,</w:t>
      </w:r>
    </w:p>
    <w:p w14:paraId="3FA6E8D7" w14:textId="36A4F04C" w:rsidR="00F45A3F" w:rsidRDefault="00F45A3F" w:rsidP="00C95A7F">
      <w:pPr>
        <w:pStyle w:val="Akapitzlist"/>
        <w:numPr>
          <w:ilvl w:val="0"/>
          <w:numId w:val="19"/>
        </w:numPr>
        <w:spacing w:after="160" w:line="259" w:lineRule="auto"/>
        <w:jc w:val="both"/>
      </w:pPr>
      <w:r w:rsidRPr="00E33A55">
        <w:rPr>
          <w:b/>
        </w:rPr>
        <w:t>pisemnie pocztą</w:t>
      </w:r>
      <w:r>
        <w:t xml:space="preserve"> na adres Spółki w zamkniętej kopercie opatrzonej napisem „</w:t>
      </w:r>
      <w:r w:rsidRPr="00876CEF">
        <w:rPr>
          <w:b/>
          <w:bCs/>
        </w:rPr>
        <w:t>Poufne”,</w:t>
      </w:r>
      <w:r>
        <w:t xml:space="preserve"> umieszczonej</w:t>
      </w:r>
      <w:r w:rsidR="000B5BD2">
        <w:t xml:space="preserve">                   </w:t>
      </w:r>
      <w:r>
        <w:t xml:space="preserve"> w kolejnej zamkniętej kopercie opatrzonej dopiskiem:</w:t>
      </w:r>
    </w:p>
    <w:p w14:paraId="013F4D49" w14:textId="04C19E9F" w:rsidR="00F45A3F" w:rsidRDefault="00176C85" w:rsidP="00C95A7F">
      <w:pPr>
        <w:pStyle w:val="Akapitzlist"/>
        <w:numPr>
          <w:ilvl w:val="0"/>
          <w:numId w:val="23"/>
        </w:numPr>
        <w:spacing w:after="160" w:line="259" w:lineRule="auto"/>
        <w:jc w:val="both"/>
      </w:pPr>
      <w:r>
        <w:rPr>
          <w:b/>
        </w:rPr>
        <w:t>„</w:t>
      </w:r>
      <w:r w:rsidR="00F45A3F" w:rsidRPr="00E33A55">
        <w:rPr>
          <w:b/>
        </w:rPr>
        <w:t>Zespół do Spraw</w:t>
      </w:r>
      <w:r w:rsidR="00F45A3F">
        <w:rPr>
          <w:b/>
        </w:rPr>
        <w:t xml:space="preserve"> Zgodności</w:t>
      </w:r>
      <w:r>
        <w:rPr>
          <w:b/>
        </w:rPr>
        <w:t xml:space="preserve"> do rąk własnych</w:t>
      </w:r>
      <w:r w:rsidR="00F45A3F" w:rsidRPr="00E33A55">
        <w:rPr>
          <w:b/>
        </w:rPr>
        <w:t>”,</w:t>
      </w:r>
      <w:r w:rsidR="00F45A3F">
        <w:t xml:space="preserve"> wówczas zgłoszenie trafi do członków </w:t>
      </w:r>
      <w:r w:rsidR="00EE4DB1">
        <w:t>Zespołu do Spraw Z</w:t>
      </w:r>
      <w:r>
        <w:t>godności  lub</w:t>
      </w:r>
    </w:p>
    <w:p w14:paraId="7484A070" w14:textId="5D1B119F" w:rsidR="00F45A3F" w:rsidRPr="00303294" w:rsidRDefault="00F45A3F" w:rsidP="00C95A7F">
      <w:pPr>
        <w:pStyle w:val="Akapitzlist"/>
        <w:numPr>
          <w:ilvl w:val="0"/>
          <w:numId w:val="23"/>
        </w:numPr>
        <w:spacing w:after="160" w:line="259" w:lineRule="auto"/>
        <w:jc w:val="both"/>
      </w:pPr>
      <w:r>
        <w:t>zaadresowane z imienia i nazwiska do konkretnego członka Zespołu do Spraw naruszeń</w:t>
      </w:r>
      <w:r w:rsidR="000B5BD2">
        <w:t xml:space="preserve">                               </w:t>
      </w:r>
      <w:r w:rsidR="00176C85">
        <w:t xml:space="preserve"> z dopiskiem „</w:t>
      </w:r>
      <w:r w:rsidRPr="00E33A55">
        <w:rPr>
          <w:b/>
        </w:rPr>
        <w:t>imię, nazwisko</w:t>
      </w:r>
      <w:r w:rsidR="00176C85">
        <w:rPr>
          <w:b/>
        </w:rPr>
        <w:t>,</w:t>
      </w:r>
      <w:r w:rsidRPr="00E33A55">
        <w:rPr>
          <w:b/>
        </w:rPr>
        <w:t xml:space="preserve"> Członek Zespołu do Spraw Zgodności</w:t>
      </w:r>
      <w:r>
        <w:t xml:space="preserve">”  wówczas zgłoszenie zostanie przekazane do </w:t>
      </w:r>
      <w:r w:rsidRPr="00303294">
        <w:t>wskazanego z imienia i nazwiska  człon</w:t>
      </w:r>
      <w:r w:rsidR="00176C85" w:rsidRPr="00303294">
        <w:t>ka Zespołu do Spraw Zgodności.</w:t>
      </w:r>
    </w:p>
    <w:p w14:paraId="1F0BEE5D" w14:textId="38DF7FA8" w:rsidR="00F45A3F" w:rsidRDefault="00F45A3F" w:rsidP="00C95A7F">
      <w:pPr>
        <w:pStyle w:val="Akapitzlist"/>
        <w:numPr>
          <w:ilvl w:val="0"/>
          <w:numId w:val="19"/>
        </w:numPr>
        <w:spacing w:after="160" w:line="259" w:lineRule="auto"/>
        <w:jc w:val="both"/>
      </w:pPr>
      <w:r w:rsidRPr="00303294">
        <w:t xml:space="preserve">za </w:t>
      </w:r>
      <w:r w:rsidRPr="00303294">
        <w:rPr>
          <w:b/>
        </w:rPr>
        <w:t>pomocą bezpośredniego spotkania</w:t>
      </w:r>
      <w:r w:rsidRPr="00303294">
        <w:t xml:space="preserve"> z Członkie</w:t>
      </w:r>
      <w:r w:rsidR="00176C85" w:rsidRPr="00303294">
        <w:t xml:space="preserve">m Zespołu </w:t>
      </w:r>
      <w:r w:rsidRPr="00303294">
        <w:t>d</w:t>
      </w:r>
      <w:r w:rsidR="00176C85" w:rsidRPr="00303294">
        <w:t>o</w:t>
      </w:r>
      <w:r w:rsidRPr="00303294">
        <w:t xml:space="preserve"> spraw Zgodności</w:t>
      </w:r>
      <w:r w:rsidRPr="00303294">
        <w:br/>
        <w:t xml:space="preserve"> w terminie 14 dni od dnia otrzymania wnio</w:t>
      </w:r>
      <w:r w:rsidR="00176C85" w:rsidRPr="00303294">
        <w:t>sku o zorganizowanie spotkania.</w:t>
      </w:r>
      <w:r w:rsidRPr="00303294">
        <w:t xml:space="preserve"> Ze spotka</w:t>
      </w:r>
      <w:r w:rsidR="00176C85" w:rsidRPr="00303294">
        <w:t>na z sygnalistą sporządzany zostaje</w:t>
      </w:r>
      <w:r w:rsidRPr="00303294">
        <w:t xml:space="preserve"> protokół, jeżeli </w:t>
      </w:r>
      <w:r w:rsidR="00176C85" w:rsidRPr="00303294">
        <w:t xml:space="preserve">sygnalista </w:t>
      </w:r>
      <w:r w:rsidR="00176C85">
        <w:t xml:space="preserve">wyrazi na to zgodę. </w:t>
      </w:r>
      <w:r>
        <w:t>Sygnaliście przysługuje prawo sprawdzenia, poprawienia i zatwierdzenia protokołu przez jego podpisanie. W razie braku zgody sygnalisty na sporządzenie prot</w:t>
      </w:r>
      <w:r w:rsidR="00176C85">
        <w:t>okołu Członek Zespołu do Spraw Zgodności</w:t>
      </w:r>
      <w:r>
        <w:t xml:space="preserve"> sporządza notatkę służbową ze spotkania, która </w:t>
      </w:r>
      <w:r w:rsidR="00176C85">
        <w:t>traktowana jest jak zgłoszenie.</w:t>
      </w:r>
    </w:p>
    <w:p w14:paraId="27C4269A" w14:textId="77777777" w:rsidR="00F45A3F" w:rsidRDefault="00F45A3F" w:rsidP="000B5BD2">
      <w:pPr>
        <w:jc w:val="both"/>
        <w:rPr>
          <w:rFonts w:cstheme="minorHAnsi"/>
          <w:b/>
        </w:rPr>
      </w:pPr>
    </w:p>
    <w:p w14:paraId="2B0999FE" w14:textId="77777777" w:rsidR="00F45A3F" w:rsidRPr="00314B4B" w:rsidRDefault="00F45A3F" w:rsidP="000B5BD2">
      <w:pPr>
        <w:jc w:val="center"/>
        <w:rPr>
          <w:b/>
        </w:rPr>
      </w:pPr>
      <w:r w:rsidRPr="00314B4B">
        <w:rPr>
          <w:rFonts w:cstheme="minorHAnsi"/>
          <w:b/>
        </w:rPr>
        <w:t>§</w:t>
      </w:r>
      <w:r>
        <w:rPr>
          <w:rFonts w:cstheme="minorHAnsi"/>
          <w:b/>
        </w:rPr>
        <w:t xml:space="preserve"> 10</w:t>
      </w:r>
    </w:p>
    <w:p w14:paraId="2A657A05" w14:textId="5427AD8F" w:rsidR="00F45A3F" w:rsidRPr="00314B4B" w:rsidRDefault="00F45A3F" w:rsidP="000B5BD2">
      <w:pPr>
        <w:jc w:val="center"/>
        <w:rPr>
          <w:b/>
        </w:rPr>
      </w:pPr>
      <w:r w:rsidRPr="00314B4B">
        <w:rPr>
          <w:b/>
        </w:rPr>
        <w:t>Potwierdzenie zgłoszenia</w:t>
      </w:r>
    </w:p>
    <w:p w14:paraId="1206D601" w14:textId="52458106" w:rsidR="00F45A3F" w:rsidRDefault="00F45A3F" w:rsidP="00C95A7F">
      <w:pPr>
        <w:pStyle w:val="Akapitzlist"/>
        <w:numPr>
          <w:ilvl w:val="0"/>
          <w:numId w:val="9"/>
        </w:numPr>
        <w:spacing w:after="160" w:line="259" w:lineRule="auto"/>
        <w:jc w:val="both"/>
      </w:pPr>
      <w:r>
        <w:t>Potwierdzenie przyjęcia zgłoszenia następuje w ciągu 7 dni od dnia otrzymania zgłoszenia, chyba że osoba dokonująca zgłoszenia nie podała adresu lub też podany przez</w:t>
      </w:r>
      <w:r w:rsidR="00594E81">
        <w:t xml:space="preserve"> nią adres jest nieprawidłowy.</w:t>
      </w:r>
    </w:p>
    <w:p w14:paraId="2B4CA314" w14:textId="77777777" w:rsidR="00F45A3F" w:rsidRDefault="00F45A3F" w:rsidP="00C95A7F">
      <w:pPr>
        <w:pStyle w:val="Akapitzlist"/>
        <w:numPr>
          <w:ilvl w:val="0"/>
          <w:numId w:val="9"/>
        </w:numPr>
        <w:spacing w:after="160" w:line="259" w:lineRule="auto"/>
        <w:jc w:val="both"/>
      </w:pPr>
      <w:r>
        <w:t xml:space="preserve">Wzór potwierdzenia przyjęcia zgłoszenia stanowi </w:t>
      </w:r>
      <w:r w:rsidRPr="007B5038">
        <w:rPr>
          <w:b/>
          <w:bCs/>
        </w:rPr>
        <w:t>załącznik nr 2</w:t>
      </w:r>
      <w:r>
        <w:t xml:space="preserve"> do niniejszej procedury.</w:t>
      </w:r>
    </w:p>
    <w:p w14:paraId="36191161" w14:textId="24A8B478" w:rsidR="00F45A3F" w:rsidRDefault="00F45A3F" w:rsidP="00C95A7F">
      <w:pPr>
        <w:pStyle w:val="Akapitzlist"/>
        <w:numPr>
          <w:ilvl w:val="0"/>
          <w:numId w:val="9"/>
        </w:numPr>
        <w:spacing w:after="160" w:line="259" w:lineRule="auto"/>
        <w:jc w:val="both"/>
      </w:pPr>
      <w:r>
        <w:t>Spółka podejmuje działania następcze bez zbędnej zwłoki z zachowaniem zasad nal</w:t>
      </w:r>
      <w:r w:rsidR="00594E81">
        <w:t>eżytej staranności i poufności.</w:t>
      </w:r>
    </w:p>
    <w:p w14:paraId="7ABC8B47" w14:textId="77777777" w:rsidR="00F45A3F" w:rsidRDefault="00F45A3F" w:rsidP="000B5BD2">
      <w:pPr>
        <w:pStyle w:val="Akapitzlist"/>
        <w:spacing w:after="160" w:line="259" w:lineRule="auto"/>
        <w:jc w:val="both"/>
      </w:pPr>
    </w:p>
    <w:p w14:paraId="2E382937" w14:textId="77777777" w:rsidR="00F45A3F" w:rsidRPr="005403A4" w:rsidRDefault="00F45A3F" w:rsidP="000B5BD2">
      <w:pPr>
        <w:jc w:val="center"/>
        <w:rPr>
          <w:b/>
        </w:rPr>
      </w:pPr>
      <w:r w:rsidRPr="005403A4">
        <w:rPr>
          <w:rFonts w:cstheme="minorHAnsi"/>
          <w:b/>
        </w:rPr>
        <w:t>§</w:t>
      </w:r>
      <w:r w:rsidRPr="005403A4">
        <w:rPr>
          <w:b/>
        </w:rPr>
        <w:t xml:space="preserve"> </w:t>
      </w:r>
      <w:r>
        <w:rPr>
          <w:b/>
        </w:rPr>
        <w:t>11</w:t>
      </w:r>
    </w:p>
    <w:p w14:paraId="3B91F7BA" w14:textId="77777777" w:rsidR="00F45A3F" w:rsidRPr="005403A4" w:rsidRDefault="00F45A3F" w:rsidP="000B5BD2">
      <w:pPr>
        <w:jc w:val="center"/>
        <w:rPr>
          <w:b/>
        </w:rPr>
      </w:pPr>
      <w:r w:rsidRPr="005403A4">
        <w:rPr>
          <w:b/>
        </w:rPr>
        <w:t>Rejestr zgłoszeń</w:t>
      </w:r>
    </w:p>
    <w:p w14:paraId="69D95EC1" w14:textId="77777777" w:rsidR="00F45A3F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t>Spółka prowadzi rejestr zgłoszeń wewnętrznych i jest administratorem danych zgromadzonych w rejestrze.</w:t>
      </w:r>
    </w:p>
    <w:p w14:paraId="5314F731" w14:textId="77777777" w:rsidR="00F45A3F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t xml:space="preserve">Rejestr jest prowadzony w formie elektronicznej. </w:t>
      </w:r>
    </w:p>
    <w:p w14:paraId="665BEDE9" w14:textId="77777777" w:rsidR="00F45A3F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t>Spółka stosuje zabezpieczenia techniczne i organizacyjne uniemożliwiające dostęp do rejestru osobom nieupoważnionym.</w:t>
      </w:r>
    </w:p>
    <w:p w14:paraId="6FC2FF0D" w14:textId="77777777" w:rsidR="00F45A3F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lastRenderedPageBreak/>
        <w:t>Wprowadzenie danych do rejestru następuje na podstawie zgłoszenia wewnętrznego.</w:t>
      </w:r>
    </w:p>
    <w:p w14:paraId="26BF75C8" w14:textId="77777777" w:rsidR="00F45A3F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t xml:space="preserve">Wzór rejestru stanowi </w:t>
      </w:r>
      <w:r w:rsidRPr="00E11620">
        <w:rPr>
          <w:b/>
          <w:bCs/>
        </w:rPr>
        <w:t>załącznik nr 3</w:t>
      </w:r>
      <w:r>
        <w:t xml:space="preserve"> do niniejszej procedury.</w:t>
      </w:r>
    </w:p>
    <w:p w14:paraId="1A164E67" w14:textId="7016EA64" w:rsidR="00F45A3F" w:rsidRPr="005403A4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t>Dane dotyczące zgłoszenia są przechowane przez okres 3 lat po zakończeniu roku kalendarzowego, w którym zakończono działania następcze l</w:t>
      </w:r>
      <w:r w:rsidR="00534631">
        <w:t>ub po zakończeniu toczących się</w:t>
      </w:r>
      <w:r>
        <w:t xml:space="preserve"> postępowań</w:t>
      </w:r>
      <w:r>
        <w:rPr>
          <w:rFonts w:cstheme="minorHAnsi"/>
        </w:rPr>
        <w:t>.</w:t>
      </w:r>
    </w:p>
    <w:p w14:paraId="64CA899A" w14:textId="1E17069C" w:rsidR="00F45A3F" w:rsidRPr="00067CFF" w:rsidRDefault="00F45A3F" w:rsidP="00C95A7F">
      <w:pPr>
        <w:pStyle w:val="Akapitzlist"/>
        <w:numPr>
          <w:ilvl w:val="0"/>
          <w:numId w:val="6"/>
        </w:numPr>
        <w:spacing w:after="160" w:line="259" w:lineRule="auto"/>
        <w:jc w:val="both"/>
      </w:pPr>
      <w:r>
        <w:rPr>
          <w:rFonts w:cstheme="minorHAnsi"/>
        </w:rPr>
        <w:t>Po zakończeniu okresu przechowa</w:t>
      </w:r>
      <w:r w:rsidR="00534631">
        <w:rPr>
          <w:rFonts w:cstheme="minorHAnsi"/>
        </w:rPr>
        <w:t>nia dane są usuwane z rejestru.</w:t>
      </w:r>
    </w:p>
    <w:p w14:paraId="2F3FC74B" w14:textId="77777777" w:rsidR="00F45A3F" w:rsidRDefault="00F45A3F" w:rsidP="000B5BD2">
      <w:pPr>
        <w:jc w:val="both"/>
        <w:rPr>
          <w:rFonts w:cstheme="minorHAnsi"/>
          <w:b/>
        </w:rPr>
      </w:pPr>
    </w:p>
    <w:p w14:paraId="3CCD5D4A" w14:textId="77777777" w:rsidR="00F45A3F" w:rsidRPr="003F5581" w:rsidRDefault="00F45A3F" w:rsidP="000B5BD2">
      <w:pPr>
        <w:jc w:val="center"/>
        <w:rPr>
          <w:rFonts w:cstheme="minorHAnsi"/>
          <w:b/>
        </w:rPr>
      </w:pPr>
      <w:r w:rsidRPr="003F5581">
        <w:rPr>
          <w:rFonts w:cstheme="minorHAnsi"/>
          <w:b/>
        </w:rPr>
        <w:t xml:space="preserve">§ </w:t>
      </w:r>
      <w:r>
        <w:rPr>
          <w:rFonts w:cstheme="minorHAnsi"/>
          <w:b/>
        </w:rPr>
        <w:t>12</w:t>
      </w:r>
    </w:p>
    <w:p w14:paraId="2D80BFF1" w14:textId="77777777" w:rsidR="00F45A3F" w:rsidRPr="003F5581" w:rsidRDefault="00F45A3F" w:rsidP="000B5BD2">
      <w:pPr>
        <w:jc w:val="center"/>
        <w:rPr>
          <w:rFonts w:cstheme="minorHAnsi"/>
          <w:b/>
        </w:rPr>
      </w:pPr>
      <w:r>
        <w:rPr>
          <w:rFonts w:cstheme="minorHAnsi"/>
          <w:b/>
        </w:rPr>
        <w:t>Komisja Wyjaśniająca</w:t>
      </w:r>
    </w:p>
    <w:p w14:paraId="3F505525" w14:textId="782506CB" w:rsidR="00F45A3F" w:rsidRDefault="00F45A3F" w:rsidP="00C95A7F">
      <w:pPr>
        <w:pStyle w:val="Akapitzlist"/>
        <w:numPr>
          <w:ilvl w:val="0"/>
          <w:numId w:val="15"/>
        </w:numPr>
        <w:spacing w:after="160" w:line="259" w:lineRule="auto"/>
        <w:jc w:val="both"/>
      </w:pPr>
      <w:r>
        <w:t>Po o</w:t>
      </w:r>
      <w:r w:rsidR="00534631">
        <w:t>trzymaniu zgłoszenia Zespół do Spraw Z</w:t>
      </w:r>
      <w:r>
        <w:t>god</w:t>
      </w:r>
      <w:r w:rsidR="00534631">
        <w:t xml:space="preserve">ności  w składzie co najmniej </w:t>
      </w:r>
      <w:r w:rsidR="00534631" w:rsidRPr="00303294">
        <w:t>dwu</w:t>
      </w:r>
      <w:r w:rsidRPr="00303294">
        <w:t xml:space="preserve">osobowym </w:t>
      </w:r>
      <w:r>
        <w:t>dokonuje wyboru członków Komisji W</w:t>
      </w:r>
      <w:r w:rsidR="00534631">
        <w:t>yjaśniającej, składającej się z</w:t>
      </w:r>
      <w:r>
        <w:t>:</w:t>
      </w:r>
    </w:p>
    <w:p w14:paraId="07DF490E" w14:textId="5712E87D" w:rsidR="00F45A3F" w:rsidRDefault="00F45A3F" w:rsidP="00C95A7F">
      <w:pPr>
        <w:pStyle w:val="Akapitzlist"/>
        <w:numPr>
          <w:ilvl w:val="0"/>
          <w:numId w:val="14"/>
        </w:numPr>
        <w:spacing w:after="160" w:line="259" w:lineRule="auto"/>
        <w:jc w:val="both"/>
      </w:pPr>
      <w:r>
        <w:t>co najmniej 3 sta</w:t>
      </w:r>
      <w:r w:rsidR="00534631">
        <w:t>łych członków, którymi są osoby</w:t>
      </w:r>
      <w:r>
        <w:t xml:space="preserve"> wybrane s</w:t>
      </w:r>
      <w:r w:rsidR="00534631">
        <w:t>pośród osób wchodzących w skład Zespołu do Spraw Zgodności,</w:t>
      </w:r>
    </w:p>
    <w:p w14:paraId="1C02650C" w14:textId="15817A76" w:rsidR="00F45A3F" w:rsidRDefault="00F45A3F" w:rsidP="00C95A7F">
      <w:pPr>
        <w:pStyle w:val="Akapitzlist"/>
        <w:numPr>
          <w:ilvl w:val="0"/>
          <w:numId w:val="14"/>
        </w:numPr>
        <w:spacing w:after="160" w:line="259" w:lineRule="auto"/>
        <w:jc w:val="both"/>
      </w:pPr>
      <w:r>
        <w:t>w zależności od charakteru sy</w:t>
      </w:r>
      <w:r w:rsidR="00534631">
        <w:t>gnalizacji Komisja Wyjaśniająca</w:t>
      </w:r>
      <w:r>
        <w:t xml:space="preserve"> będzie uzupełnia</w:t>
      </w:r>
      <w:r w:rsidR="00534631">
        <w:t xml:space="preserve">na </w:t>
      </w:r>
      <w:r w:rsidR="00534631">
        <w:br/>
        <w:t>w razie potrzeby o członka/</w:t>
      </w:r>
      <w:r>
        <w:t xml:space="preserve">członków wybranych doraźnie przez stałych członków </w:t>
      </w:r>
      <w:r>
        <w:br/>
        <w:t>w głosowaniu,</w:t>
      </w:r>
    </w:p>
    <w:p w14:paraId="22EB315D" w14:textId="79EE5FAC" w:rsidR="00F45A3F" w:rsidRDefault="00F45A3F" w:rsidP="00C95A7F">
      <w:pPr>
        <w:pStyle w:val="Akapitzlist"/>
        <w:numPr>
          <w:ilvl w:val="0"/>
          <w:numId w:val="14"/>
        </w:numPr>
        <w:spacing w:after="160" w:line="259" w:lineRule="auto"/>
        <w:jc w:val="both"/>
      </w:pPr>
      <w:r>
        <w:t>zewnętrznego doradcy,  gdy będzie tego wymagał charakter</w:t>
      </w:r>
      <w:r w:rsidR="00534631">
        <w:t xml:space="preserve"> naruszenia. Zewnętrzny doradca</w:t>
      </w:r>
      <w:r>
        <w:t xml:space="preserve"> wybierany jest po uzyskaniu zgody Zarządu Spółki.</w:t>
      </w:r>
    </w:p>
    <w:p w14:paraId="33D17283" w14:textId="7166A1F8" w:rsidR="00F45A3F" w:rsidRDefault="00EE4DB1" w:rsidP="00C95A7F">
      <w:pPr>
        <w:pStyle w:val="Akapitzlist"/>
        <w:numPr>
          <w:ilvl w:val="0"/>
          <w:numId w:val="15"/>
        </w:numPr>
        <w:spacing w:after="160" w:line="259" w:lineRule="auto"/>
        <w:jc w:val="both"/>
      </w:pPr>
      <w:r>
        <w:t>Członkiem Komisji nie może być</w:t>
      </w:r>
      <w:r w:rsidR="00F45A3F">
        <w:t>:</w:t>
      </w:r>
    </w:p>
    <w:p w14:paraId="0522C823" w14:textId="77777777" w:rsidR="00F45A3F" w:rsidRDefault="00F45A3F" w:rsidP="00C95A7F">
      <w:pPr>
        <w:pStyle w:val="Akapitzlist"/>
        <w:numPr>
          <w:ilvl w:val="0"/>
          <w:numId w:val="20"/>
        </w:numPr>
        <w:spacing w:after="160" w:line="259" w:lineRule="auto"/>
        <w:jc w:val="both"/>
      </w:pPr>
      <w:r>
        <w:t>osoba, której dotyczy zgłoszenie,</w:t>
      </w:r>
    </w:p>
    <w:p w14:paraId="22649134" w14:textId="48D93DC6" w:rsidR="00F45A3F" w:rsidRDefault="00F45A3F" w:rsidP="00C95A7F">
      <w:pPr>
        <w:pStyle w:val="Akapitzlist"/>
        <w:numPr>
          <w:ilvl w:val="0"/>
          <w:numId w:val="20"/>
        </w:numPr>
        <w:spacing w:after="160" w:line="259" w:lineRule="auto"/>
        <w:jc w:val="both"/>
      </w:pPr>
      <w:r>
        <w:t>osoba będąca bezpośrednim przełożonym sygnalisty,</w:t>
      </w:r>
    </w:p>
    <w:p w14:paraId="07232AFF" w14:textId="606A9372" w:rsidR="00F45A3F" w:rsidRDefault="00F45A3F" w:rsidP="00C95A7F">
      <w:pPr>
        <w:pStyle w:val="Akapitzlist"/>
        <w:numPr>
          <w:ilvl w:val="0"/>
          <w:numId w:val="20"/>
        </w:numPr>
        <w:spacing w:after="160" w:line="259" w:lineRule="auto"/>
        <w:jc w:val="both"/>
      </w:pPr>
      <w:r>
        <w:t>osoba bezpoś</w:t>
      </w:r>
      <w:r w:rsidR="00534631">
        <w:t>rednio podlegająca sygnaliście.</w:t>
      </w:r>
    </w:p>
    <w:p w14:paraId="6B352777" w14:textId="2EBEDED2" w:rsidR="00F45A3F" w:rsidRDefault="00F45A3F" w:rsidP="00C95A7F">
      <w:pPr>
        <w:pStyle w:val="Akapitzlist"/>
        <w:numPr>
          <w:ilvl w:val="0"/>
          <w:numId w:val="15"/>
        </w:numPr>
        <w:spacing w:after="160" w:line="259" w:lineRule="auto"/>
        <w:jc w:val="both"/>
      </w:pPr>
      <w:r>
        <w:t>Osoby wchodzące w skład Komisji Wyjaśniającej zobowiązane są do zachowania poufności oraz bezstronności przy wykonywaniu powierzonych im zadań</w:t>
      </w:r>
      <w:r w:rsidR="00534631">
        <w:t>,</w:t>
      </w:r>
      <w:r>
        <w:t xml:space="preserve"> w szczególności zaś do podejmowania wszelkich działań zapewniających ochronę sygnalisty oraz os</w:t>
      </w:r>
      <w:r w:rsidR="00534631">
        <w:t>oby, której zgłoszenie dotyczy.</w:t>
      </w:r>
    </w:p>
    <w:p w14:paraId="7137EE39" w14:textId="2055DFF8" w:rsidR="00F45A3F" w:rsidRDefault="00F45A3F" w:rsidP="00C95A7F">
      <w:pPr>
        <w:pStyle w:val="Akapitzlist"/>
        <w:numPr>
          <w:ilvl w:val="0"/>
          <w:numId w:val="15"/>
        </w:numPr>
        <w:spacing w:after="160" w:line="259" w:lineRule="auto"/>
        <w:jc w:val="both"/>
      </w:pPr>
      <w:r>
        <w:t>Wszyscy członkowie Komisji Wyjaśniającej posiadają pisemne upoważnienie Spółki do weryfikacji  zgłoszeń, po</w:t>
      </w:r>
      <w:r w:rsidR="00534631">
        <w:t>dejmowania działań następczych,</w:t>
      </w:r>
      <w:r>
        <w:t xml:space="preserve"> przetwarzania danych o</w:t>
      </w:r>
      <w:r w:rsidR="00534631">
        <w:t>sobowych.</w:t>
      </w:r>
    </w:p>
    <w:p w14:paraId="09BAF36D" w14:textId="05AF01EB" w:rsidR="00F45A3F" w:rsidRDefault="00F45A3F" w:rsidP="00C95A7F">
      <w:pPr>
        <w:pStyle w:val="Akapitzlist"/>
        <w:numPr>
          <w:ilvl w:val="0"/>
          <w:numId w:val="15"/>
        </w:numPr>
        <w:spacing w:after="160" w:line="259" w:lineRule="auto"/>
        <w:jc w:val="both"/>
      </w:pPr>
      <w:r>
        <w:t xml:space="preserve">W przypadku gdy w ocenie członka </w:t>
      </w:r>
      <w:r w:rsidRPr="00303294">
        <w:t>Komi</w:t>
      </w:r>
      <w:r w:rsidR="00534631" w:rsidRPr="00303294">
        <w:t>s</w:t>
      </w:r>
      <w:r w:rsidRPr="00303294">
        <w:t xml:space="preserve">ji zaistnieją </w:t>
      </w:r>
      <w:r>
        <w:t xml:space="preserve">okoliczności mogące rzutować na jego bezstronność, może on zawnioskować do Zarządu Spółki o </w:t>
      </w:r>
      <w:r w:rsidR="00534631">
        <w:t>jego wyłączenie z prac Komisji</w:t>
      </w:r>
      <w:r w:rsidR="00534631">
        <w:br/>
      </w:r>
      <w:r>
        <w:t>i powołanie na jego miejsce innej osoby. W przypadku pozytywnej decyzji Zarządu wyłączony Członek  nadal zobowiązany jest  do zachowania poufności wszelkich informacji, jakie uzyskał pr</w:t>
      </w:r>
      <w:r w:rsidR="00534631">
        <w:t>zed wyłączeniem z prac Komisji.</w:t>
      </w:r>
      <w:r>
        <w:t xml:space="preserve"> </w:t>
      </w:r>
    </w:p>
    <w:p w14:paraId="641953AB" w14:textId="77777777" w:rsidR="00F45A3F" w:rsidRDefault="00F45A3F" w:rsidP="00C95A7F">
      <w:pPr>
        <w:pStyle w:val="Akapitzlist"/>
        <w:numPr>
          <w:ilvl w:val="0"/>
          <w:numId w:val="15"/>
        </w:numPr>
        <w:spacing w:after="160" w:line="259" w:lineRule="auto"/>
        <w:jc w:val="both"/>
      </w:pPr>
      <w:r>
        <w:t>Do zadań Komisji Wyjaśniającej należy:</w:t>
      </w:r>
    </w:p>
    <w:p w14:paraId="3AABB45E" w14:textId="77777777" w:rsidR="00F45A3F" w:rsidRDefault="00F45A3F" w:rsidP="00C95A7F">
      <w:pPr>
        <w:pStyle w:val="Akapitzlist"/>
        <w:numPr>
          <w:ilvl w:val="0"/>
          <w:numId w:val="16"/>
        </w:numPr>
        <w:spacing w:after="160" w:line="259" w:lineRule="auto"/>
        <w:jc w:val="both"/>
      </w:pPr>
      <w:r>
        <w:t>podejmowanie działań następczych,</w:t>
      </w:r>
    </w:p>
    <w:p w14:paraId="68334D8B" w14:textId="02C9523F" w:rsidR="00F45A3F" w:rsidRDefault="00534631" w:rsidP="00C95A7F">
      <w:pPr>
        <w:pStyle w:val="Akapitzlist"/>
        <w:numPr>
          <w:ilvl w:val="0"/>
          <w:numId w:val="16"/>
        </w:numPr>
        <w:spacing w:after="160" w:line="259" w:lineRule="auto"/>
        <w:jc w:val="both"/>
      </w:pPr>
      <w:r>
        <w:t>sporządzenie raportu,</w:t>
      </w:r>
    </w:p>
    <w:p w14:paraId="1332ADB5" w14:textId="77777777" w:rsidR="00F45A3F" w:rsidRDefault="00F45A3F" w:rsidP="00C95A7F">
      <w:pPr>
        <w:pStyle w:val="Akapitzlist"/>
        <w:numPr>
          <w:ilvl w:val="0"/>
          <w:numId w:val="16"/>
        </w:numPr>
        <w:spacing w:after="160" w:line="259" w:lineRule="auto"/>
        <w:jc w:val="both"/>
      </w:pPr>
      <w:r>
        <w:t>przekazanie sygnaliście informacji zwrotnej,</w:t>
      </w:r>
    </w:p>
    <w:p w14:paraId="1A3EB4ED" w14:textId="77777777" w:rsidR="00F45A3F" w:rsidRDefault="00F45A3F" w:rsidP="00C95A7F">
      <w:pPr>
        <w:pStyle w:val="Akapitzlist"/>
        <w:numPr>
          <w:ilvl w:val="0"/>
          <w:numId w:val="16"/>
        </w:numPr>
        <w:spacing w:after="160" w:line="259" w:lineRule="auto"/>
        <w:jc w:val="both"/>
      </w:pPr>
      <w:r>
        <w:t>rozpatrywania wniosków informujących o działaniach odwetowych i podejmowanie działań mających na celu eliminację takich działań.</w:t>
      </w:r>
    </w:p>
    <w:p w14:paraId="72AF961A" w14:textId="77777777" w:rsidR="00F45A3F" w:rsidRDefault="00F45A3F" w:rsidP="000B5BD2">
      <w:pPr>
        <w:jc w:val="both"/>
      </w:pPr>
    </w:p>
    <w:p w14:paraId="551E5184" w14:textId="77777777" w:rsidR="00F45A3F" w:rsidRPr="00AB4A88" w:rsidRDefault="00F45A3F" w:rsidP="000B5BD2">
      <w:pPr>
        <w:jc w:val="center"/>
        <w:rPr>
          <w:b/>
        </w:rPr>
      </w:pPr>
      <w:r w:rsidRPr="00AB4A88">
        <w:rPr>
          <w:rFonts w:cstheme="minorHAnsi"/>
          <w:b/>
        </w:rPr>
        <w:t>§</w:t>
      </w:r>
      <w:r>
        <w:rPr>
          <w:rFonts w:cstheme="minorHAnsi"/>
          <w:b/>
        </w:rPr>
        <w:t xml:space="preserve"> 13</w:t>
      </w:r>
    </w:p>
    <w:p w14:paraId="728F1E8A" w14:textId="63B59609" w:rsidR="00F45A3F" w:rsidRDefault="00F45A3F" w:rsidP="0079074F">
      <w:pPr>
        <w:jc w:val="center"/>
        <w:rPr>
          <w:b/>
        </w:rPr>
      </w:pPr>
      <w:r w:rsidRPr="00AB4A88">
        <w:rPr>
          <w:b/>
        </w:rPr>
        <w:t>Działania następcze</w:t>
      </w:r>
    </w:p>
    <w:p w14:paraId="779376A9" w14:textId="77777777" w:rsidR="00F45A3F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>
        <w:t>Działania następcze obejmują:</w:t>
      </w:r>
    </w:p>
    <w:p w14:paraId="6F3C2C33" w14:textId="77777777" w:rsidR="00F45A3F" w:rsidRDefault="00F45A3F" w:rsidP="00C95A7F">
      <w:pPr>
        <w:pStyle w:val="Akapitzlist"/>
        <w:numPr>
          <w:ilvl w:val="0"/>
          <w:numId w:val="27"/>
        </w:numPr>
        <w:spacing w:after="160" w:line="259" w:lineRule="auto"/>
        <w:jc w:val="both"/>
      </w:pPr>
      <w:r>
        <w:t>wstępną analizę zgłoszenia,</w:t>
      </w:r>
    </w:p>
    <w:p w14:paraId="727895A3" w14:textId="77777777" w:rsidR="00F45A3F" w:rsidRDefault="00F45A3F" w:rsidP="00C95A7F">
      <w:pPr>
        <w:pStyle w:val="Akapitzlist"/>
        <w:numPr>
          <w:ilvl w:val="0"/>
          <w:numId w:val="27"/>
        </w:numPr>
        <w:spacing w:after="160" w:line="259" w:lineRule="auto"/>
        <w:jc w:val="both"/>
      </w:pPr>
      <w:r>
        <w:t>postępowanie wyjaśniające.</w:t>
      </w:r>
    </w:p>
    <w:p w14:paraId="17118AD3" w14:textId="77AF7202" w:rsidR="00F45A3F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>
        <w:lastRenderedPageBreak/>
        <w:t>Po otrzymaniu zgłoszenia Komisja Wyjaśniająca dokonuje wstępnej analizy zgłoszenia</w:t>
      </w:r>
      <w:r w:rsidR="00534631">
        <w:t>,</w:t>
      </w:r>
      <w:r>
        <w:t xml:space="preserve"> sprawdzając</w:t>
      </w:r>
      <w:r w:rsidR="00534631">
        <w:t>,</w:t>
      </w:r>
      <w:r>
        <w:t xml:space="preserve"> czy  przedmiot z</w:t>
      </w:r>
      <w:r w:rsidR="00534631">
        <w:t>głoszenia jest objęty procedurą</w:t>
      </w:r>
      <w:r>
        <w:t xml:space="preserve"> oraz czy informacje w nim zawarte umożliwiają ro</w:t>
      </w:r>
      <w:r w:rsidR="00534631">
        <w:t>zpatrzenie zasadności zgłoszenia</w:t>
      </w:r>
      <w:r>
        <w:t>. W razie potrzeby Komis</w:t>
      </w:r>
      <w:r w:rsidR="00534631">
        <w:t>ja kontaktuje się z sygnalistą.</w:t>
      </w:r>
    </w:p>
    <w:p w14:paraId="170776D4" w14:textId="74C1EB04" w:rsidR="00F45A3F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>
        <w:t>Komisja Wyjaśniająca może podjąć decyzję o odstąpieniu od przeprowadzenia postępowania wyjaśniającego</w:t>
      </w:r>
      <w:r w:rsidR="000B5BD2">
        <w:t xml:space="preserve">                       </w:t>
      </w:r>
      <w:r w:rsidR="00534631">
        <w:t xml:space="preserve"> w sytuacji </w:t>
      </w:r>
      <w:r>
        <w:t>gdy:</w:t>
      </w:r>
    </w:p>
    <w:p w14:paraId="14666302" w14:textId="77777777" w:rsidR="00F45A3F" w:rsidRDefault="00F45A3F" w:rsidP="00C95A7F">
      <w:pPr>
        <w:pStyle w:val="Akapitzlist"/>
        <w:numPr>
          <w:ilvl w:val="0"/>
          <w:numId w:val="28"/>
        </w:numPr>
        <w:spacing w:after="160" w:line="259" w:lineRule="auto"/>
        <w:jc w:val="both"/>
      </w:pPr>
      <w:r>
        <w:t>zgłoszenie jest nieprawdziwe, niezasadne,</w:t>
      </w:r>
    </w:p>
    <w:p w14:paraId="36F0FBD9" w14:textId="77777777" w:rsidR="00F45A3F" w:rsidRDefault="00F45A3F" w:rsidP="00C95A7F">
      <w:pPr>
        <w:pStyle w:val="Akapitzlist"/>
        <w:numPr>
          <w:ilvl w:val="0"/>
          <w:numId w:val="28"/>
        </w:numPr>
        <w:spacing w:after="160" w:line="259" w:lineRule="auto"/>
        <w:jc w:val="both"/>
      </w:pPr>
      <w:r>
        <w:t>zgłoszenie nie podlega procedurze,</w:t>
      </w:r>
    </w:p>
    <w:p w14:paraId="55FA8F8B" w14:textId="0BB5A6C3" w:rsidR="00F45A3F" w:rsidRDefault="00F45A3F" w:rsidP="00C95A7F">
      <w:pPr>
        <w:pStyle w:val="Akapitzlist"/>
        <w:numPr>
          <w:ilvl w:val="0"/>
          <w:numId w:val="28"/>
        </w:numPr>
        <w:spacing w:after="160" w:line="259" w:lineRule="auto"/>
        <w:jc w:val="both"/>
      </w:pPr>
      <w:r>
        <w:t>niemożliwe jest uzyskanie informacji niezbędnych do przeprowadzen</w:t>
      </w:r>
      <w:r w:rsidR="006F2560">
        <w:t>ia postępowania wyjaśniającego.</w:t>
      </w:r>
    </w:p>
    <w:p w14:paraId="7D2C6006" w14:textId="77777777" w:rsidR="006F2560" w:rsidRPr="00303294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>
        <w:t xml:space="preserve">Jeżeli w ocenie Komisji Wyjaśniającej zachodzi prawdopodobieństwo </w:t>
      </w:r>
      <w:r w:rsidRPr="00303294">
        <w:t>wystąpienia nieprawidłowości opisanych</w:t>
      </w:r>
    </w:p>
    <w:p w14:paraId="0861ADED" w14:textId="3B41A2A8" w:rsidR="00F45A3F" w:rsidRPr="00303294" w:rsidRDefault="00F45A3F" w:rsidP="006F2560">
      <w:pPr>
        <w:pStyle w:val="Akapitzlist"/>
        <w:spacing w:after="160" w:line="259" w:lineRule="auto"/>
        <w:jc w:val="both"/>
      </w:pPr>
      <w:r w:rsidRPr="00303294">
        <w:t xml:space="preserve">w zgłoszeniu oraz zgłoszenie zawiera informacje niezbędne </w:t>
      </w:r>
      <w:r w:rsidR="006F2560" w:rsidRPr="00303294">
        <w:t>do rozpatrzenia jego zasadności,</w:t>
      </w:r>
      <w:r w:rsidR="000F3CE4" w:rsidRPr="00303294">
        <w:t xml:space="preserve"> Komisja</w:t>
      </w:r>
      <w:r w:rsidRPr="00303294">
        <w:t xml:space="preserve"> wyjaśniająca wszczyna postępowanie wyjaśniające, weryfikując fakty i okoliczności zawarte w zgłoszeniu.</w:t>
      </w:r>
    </w:p>
    <w:p w14:paraId="265A1C30" w14:textId="663B8B2D" w:rsidR="00F45A3F" w:rsidRPr="00303294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 w:rsidRPr="00303294">
        <w:t>W trakcie postępowania wyjaśniającego Komisja wys</w:t>
      </w:r>
      <w:r w:rsidR="00587B43" w:rsidRPr="00303294">
        <w:t xml:space="preserve">łucha osobę, której zgłoszenie </w:t>
      </w:r>
      <w:r w:rsidRPr="00303294">
        <w:t>dotyczy</w:t>
      </w:r>
      <w:r w:rsidR="006F2560" w:rsidRPr="00303294">
        <w:t>,</w:t>
      </w:r>
      <w:r w:rsidRPr="00303294">
        <w:t xml:space="preserve"> zapewniając poufność oraz ochronę jej tożsamości.</w:t>
      </w:r>
    </w:p>
    <w:p w14:paraId="69F83507" w14:textId="198D5C10" w:rsidR="00F45A3F" w:rsidRPr="00303294" w:rsidRDefault="006F2560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 w:rsidRPr="00303294">
        <w:rPr>
          <w:rFonts w:cstheme="minorHAnsi"/>
        </w:rPr>
        <w:t>Komisja uprawniona jest do:</w:t>
      </w:r>
    </w:p>
    <w:p w14:paraId="72173458" w14:textId="3FEB05C5" w:rsidR="00F45A3F" w:rsidRPr="00303294" w:rsidRDefault="00F45A3F" w:rsidP="00C95A7F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cstheme="minorHAnsi"/>
        </w:rPr>
      </w:pPr>
      <w:r w:rsidRPr="00303294">
        <w:rPr>
          <w:rFonts w:cstheme="minorHAnsi"/>
        </w:rPr>
        <w:t>dostępu do dokumentów i informacji niezbędnych do przeprowadzen</w:t>
      </w:r>
      <w:r w:rsidR="006F2560" w:rsidRPr="00303294">
        <w:rPr>
          <w:rFonts w:cstheme="minorHAnsi"/>
        </w:rPr>
        <w:t>ia postępowania wyjaśniającego,</w:t>
      </w:r>
    </w:p>
    <w:p w14:paraId="7F3FF5E6" w14:textId="36491F3F" w:rsidR="00F45A3F" w:rsidRPr="00303294" w:rsidRDefault="00F45A3F" w:rsidP="00C95A7F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cstheme="minorHAnsi"/>
        </w:rPr>
      </w:pPr>
      <w:r w:rsidRPr="00303294">
        <w:rPr>
          <w:rFonts w:cstheme="minorHAnsi"/>
        </w:rPr>
        <w:t>uzyskiwania wyjaśnień, pisemnych i ustnych,</w:t>
      </w:r>
    </w:p>
    <w:p w14:paraId="783A23AC" w14:textId="77777777" w:rsidR="006F2560" w:rsidRPr="00303294" w:rsidRDefault="00F45A3F" w:rsidP="006F2560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cstheme="minorHAnsi"/>
        </w:rPr>
      </w:pPr>
      <w:r w:rsidRPr="00303294">
        <w:rPr>
          <w:rFonts w:cstheme="minorHAnsi"/>
        </w:rPr>
        <w:t>dostępu do pomieszczeń i infrastruktury technicznej, w tym telefonów, komputerów i nośników informacji</w:t>
      </w:r>
    </w:p>
    <w:p w14:paraId="35E13E40" w14:textId="77777777" w:rsidR="006F2560" w:rsidRPr="00303294" w:rsidRDefault="00F45A3F" w:rsidP="006F2560">
      <w:pPr>
        <w:pStyle w:val="Akapitzlist"/>
        <w:suppressAutoHyphens/>
        <w:spacing w:after="0"/>
        <w:ind w:left="1068"/>
        <w:jc w:val="both"/>
        <w:rPr>
          <w:rFonts w:cstheme="minorHAnsi"/>
        </w:rPr>
      </w:pPr>
      <w:r w:rsidRPr="00303294">
        <w:rPr>
          <w:rFonts w:cstheme="minorHAnsi"/>
        </w:rPr>
        <w:t>w zakresie niezbędnym do wyjaśnienia zgłoszenia oraz przy poszanowaniu zasad ochrony danych osobowych</w:t>
      </w:r>
    </w:p>
    <w:p w14:paraId="53C961FA" w14:textId="1D1DE6E8" w:rsidR="00F45A3F" w:rsidRPr="00303294" w:rsidRDefault="00F45A3F" w:rsidP="006F2560">
      <w:pPr>
        <w:pStyle w:val="Akapitzlist"/>
        <w:suppressAutoHyphens/>
        <w:spacing w:after="0"/>
        <w:ind w:left="1068"/>
        <w:jc w:val="both"/>
        <w:rPr>
          <w:rFonts w:cstheme="minorHAnsi"/>
        </w:rPr>
      </w:pPr>
      <w:r w:rsidRPr="00303294">
        <w:rPr>
          <w:rFonts w:cstheme="minorHAnsi"/>
        </w:rPr>
        <w:t>i ochrony tajemnicy korespondencji,</w:t>
      </w:r>
    </w:p>
    <w:p w14:paraId="6FC0A389" w14:textId="1F301AF7" w:rsidR="00F45A3F" w:rsidRPr="00303294" w:rsidRDefault="00F45A3F" w:rsidP="00C95A7F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cstheme="minorHAnsi"/>
        </w:rPr>
      </w:pPr>
      <w:r w:rsidRPr="00303294">
        <w:rPr>
          <w:rFonts w:cstheme="minorHAnsi"/>
        </w:rPr>
        <w:t>przeprowadzenia przeszukania i zabezpieczenia dowodów, w zakresie związanym z treścią zgłoszenia</w:t>
      </w:r>
      <w:r w:rsidR="006F2560" w:rsidRPr="00303294">
        <w:rPr>
          <w:rFonts w:cstheme="minorHAnsi"/>
        </w:rPr>
        <w:t>,</w:t>
      </w:r>
    </w:p>
    <w:p w14:paraId="4C4EB84E" w14:textId="03A5D798" w:rsidR="00F45A3F" w:rsidRPr="007E3421" w:rsidRDefault="00F45A3F" w:rsidP="00C95A7F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cstheme="minorHAnsi"/>
        </w:rPr>
      </w:pPr>
      <w:r w:rsidRPr="00303294">
        <w:t>do wzywa</w:t>
      </w:r>
      <w:r w:rsidR="006F2560" w:rsidRPr="00303294">
        <w:t>nia na posiedzenia pracowników,</w:t>
      </w:r>
      <w:r w:rsidRPr="00303294">
        <w:t xml:space="preserve"> współpracowników</w:t>
      </w:r>
      <w:r w:rsidR="006F2560" w:rsidRPr="00303294">
        <w:t>,</w:t>
      </w:r>
      <w:r w:rsidRPr="00303294">
        <w:t xml:space="preserve"> któr</w:t>
      </w:r>
      <w:r w:rsidR="006F2560" w:rsidRPr="00303294">
        <w:t>z</w:t>
      </w:r>
      <w:r w:rsidRPr="00303294">
        <w:t>y mogą posiadać informację</w:t>
      </w:r>
      <w:r w:rsidR="006F2560" w:rsidRPr="00303294">
        <w:t xml:space="preserve"> dotyczącą zgłoszenia</w:t>
      </w:r>
      <w:r w:rsidRPr="00303294">
        <w:t xml:space="preserve"> lub mieć związek ze</w:t>
      </w:r>
      <w:r w:rsidR="006F2560" w:rsidRPr="00303294">
        <w:t xml:space="preserve"> </w:t>
      </w:r>
      <w:r w:rsidRPr="00303294">
        <w:t xml:space="preserve">zgłoszeniem. Osoby wezwane na </w:t>
      </w:r>
      <w:r w:rsidR="006F2560" w:rsidRPr="00303294">
        <w:t>posiedzenie Komisji zobowiązane są</w:t>
      </w:r>
      <w:r w:rsidRPr="00303294">
        <w:t xml:space="preserve"> do stawiennictwa </w:t>
      </w:r>
      <w:r w:rsidR="006F2560" w:rsidRPr="00303294">
        <w:t xml:space="preserve">w wyznaczonym terminie oraz do </w:t>
      </w:r>
      <w:r w:rsidRPr="00303294">
        <w:t xml:space="preserve">udostępnienia dokumentów oraz udzielania wszelkich informacji i wyjaśnień mogących pomóc w ustaleniu wszystkich okoliczności i </w:t>
      </w:r>
      <w:r>
        <w:t>faktów związanych</w:t>
      </w:r>
      <w:r w:rsidR="000B5BD2">
        <w:t xml:space="preserve">                                      </w:t>
      </w:r>
      <w:r w:rsidR="006F2560">
        <w:t xml:space="preserve"> ze zgłoszeniem.</w:t>
      </w:r>
    </w:p>
    <w:p w14:paraId="030153CB" w14:textId="76C25425" w:rsidR="00F45A3F" w:rsidRPr="007E3421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 w:rsidRPr="0011614E">
        <w:t>Z posiedzeń Komi</w:t>
      </w:r>
      <w:r>
        <w:t xml:space="preserve">sji </w:t>
      </w:r>
      <w:r w:rsidRPr="0011614E">
        <w:t xml:space="preserve"> spor</w:t>
      </w:r>
      <w:r w:rsidR="000F3CE4">
        <w:t xml:space="preserve">ządzana jest notatka służbowa. </w:t>
      </w:r>
      <w:r w:rsidRPr="0011614E">
        <w:t xml:space="preserve">Wyjaśnienia </w:t>
      </w:r>
      <w:r>
        <w:t>osób wezwanych</w:t>
      </w:r>
      <w:r w:rsidRPr="0011614E">
        <w:t xml:space="preserve"> </w:t>
      </w:r>
      <w:r w:rsidRPr="007E3421">
        <w:t>utrwalane są w postaci protokołu, podpisanego przez osobę wezwaną i członków Komisji.</w:t>
      </w:r>
    </w:p>
    <w:p w14:paraId="64F842D9" w14:textId="16DA912C" w:rsidR="00F45A3F" w:rsidRPr="007E3421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 w:rsidRPr="007E3421">
        <w:t xml:space="preserve">Po zbadaniu wszystkich faktów objętych zgłoszeniem Komisja podejmuje decyzję co do zasadności zgłoszenia, sporządzając </w:t>
      </w:r>
      <w:r w:rsidR="000F3CE4">
        <w:t>r</w:t>
      </w:r>
      <w:r>
        <w:t>aport</w:t>
      </w:r>
      <w:r w:rsidR="000F3CE4">
        <w:t xml:space="preserve"> końcowy.</w:t>
      </w:r>
    </w:p>
    <w:p w14:paraId="23297034" w14:textId="03DAAD2A" w:rsidR="00F45A3F" w:rsidRPr="007E3421" w:rsidRDefault="00F45A3F" w:rsidP="00C95A7F">
      <w:pPr>
        <w:pStyle w:val="Akapitzlist"/>
        <w:numPr>
          <w:ilvl w:val="0"/>
          <w:numId w:val="26"/>
        </w:numPr>
        <w:spacing w:after="160" w:line="259" w:lineRule="auto"/>
        <w:jc w:val="both"/>
      </w:pPr>
      <w:r w:rsidRPr="007E3421">
        <w:t>Dokumenty papierowe z prac Komisji przechowywane są w Dziale Kadr</w:t>
      </w:r>
      <w:r>
        <w:t>.</w:t>
      </w:r>
    </w:p>
    <w:p w14:paraId="07C23E8E" w14:textId="77777777" w:rsidR="00F45A3F" w:rsidRPr="007E3421" w:rsidRDefault="00F45A3F" w:rsidP="000B5BD2">
      <w:pPr>
        <w:jc w:val="both"/>
        <w:rPr>
          <w:rFonts w:cstheme="minorHAnsi"/>
        </w:rPr>
      </w:pPr>
    </w:p>
    <w:p w14:paraId="41E681E3" w14:textId="77777777" w:rsidR="00F45A3F" w:rsidRDefault="00F45A3F" w:rsidP="000B5BD2">
      <w:pPr>
        <w:jc w:val="center"/>
        <w:rPr>
          <w:b/>
        </w:rPr>
      </w:pPr>
      <w:r w:rsidRPr="003F5581">
        <w:rPr>
          <w:rFonts w:cstheme="minorHAnsi"/>
          <w:b/>
        </w:rPr>
        <w:t>§</w:t>
      </w:r>
      <w:r w:rsidRPr="003F5581">
        <w:rPr>
          <w:b/>
        </w:rPr>
        <w:t xml:space="preserve"> </w:t>
      </w:r>
      <w:r>
        <w:rPr>
          <w:b/>
        </w:rPr>
        <w:t>14</w:t>
      </w:r>
    </w:p>
    <w:p w14:paraId="4311B310" w14:textId="77777777" w:rsidR="00F45A3F" w:rsidRDefault="00F45A3F" w:rsidP="00C95A7F">
      <w:pPr>
        <w:pStyle w:val="Akapitzlist"/>
        <w:numPr>
          <w:ilvl w:val="0"/>
          <w:numId w:val="29"/>
        </w:numPr>
        <w:spacing w:after="160" w:line="259" w:lineRule="auto"/>
        <w:jc w:val="both"/>
      </w:pPr>
      <w:r>
        <w:t>Raport końcowy zawiera:</w:t>
      </w:r>
    </w:p>
    <w:p w14:paraId="190F3F3C" w14:textId="77777777" w:rsidR="00F45A3F" w:rsidRDefault="00F45A3F" w:rsidP="00C95A7F">
      <w:pPr>
        <w:pStyle w:val="Akapitzlist"/>
        <w:numPr>
          <w:ilvl w:val="0"/>
          <w:numId w:val="30"/>
        </w:numPr>
        <w:spacing w:after="160" w:line="259" w:lineRule="auto"/>
        <w:jc w:val="both"/>
      </w:pPr>
      <w:r>
        <w:t>streszczenie podjętych przez Komisję działań,</w:t>
      </w:r>
    </w:p>
    <w:p w14:paraId="78F9B324" w14:textId="220A0119" w:rsidR="00F45A3F" w:rsidRDefault="00F45A3F" w:rsidP="00C95A7F">
      <w:pPr>
        <w:pStyle w:val="Akapitzlist"/>
        <w:numPr>
          <w:ilvl w:val="0"/>
          <w:numId w:val="30"/>
        </w:numPr>
        <w:spacing w:after="160" w:line="259" w:lineRule="auto"/>
        <w:jc w:val="both"/>
      </w:pPr>
      <w:r>
        <w:t>w</w:t>
      </w:r>
      <w:r w:rsidR="000F3CE4">
        <w:t>ykaz zebranych dowodów,</w:t>
      </w:r>
    </w:p>
    <w:p w14:paraId="1E5A5DD2" w14:textId="77777777" w:rsidR="00F45A3F" w:rsidRDefault="00F45A3F" w:rsidP="00C95A7F">
      <w:pPr>
        <w:pStyle w:val="Akapitzlist"/>
        <w:numPr>
          <w:ilvl w:val="0"/>
          <w:numId w:val="30"/>
        </w:numPr>
        <w:spacing w:after="160" w:line="259" w:lineRule="auto"/>
        <w:jc w:val="both"/>
      </w:pPr>
      <w:r>
        <w:t>wykaz przesłuchanych osób,</w:t>
      </w:r>
    </w:p>
    <w:p w14:paraId="0BCE10F1" w14:textId="6041339D" w:rsidR="00F45A3F" w:rsidRDefault="00F45A3F" w:rsidP="00C95A7F">
      <w:pPr>
        <w:pStyle w:val="Akapitzlist"/>
        <w:numPr>
          <w:ilvl w:val="0"/>
          <w:numId w:val="30"/>
        </w:numPr>
        <w:spacing w:after="160" w:line="259" w:lineRule="auto"/>
        <w:jc w:val="both"/>
      </w:pPr>
      <w:r>
        <w:t>ocenę</w:t>
      </w:r>
      <w:r w:rsidR="000F3CE4">
        <w:t>, czy zgłoszenie zostało uznane</w:t>
      </w:r>
      <w:r>
        <w:t xml:space="preserve"> za zasadne</w:t>
      </w:r>
      <w:r w:rsidR="000F3CE4">
        <w:t>,</w:t>
      </w:r>
      <w:r>
        <w:t xml:space="preserve"> wraz z uzasadnieniem stanowiska Komisji</w:t>
      </w:r>
      <w:r w:rsidR="000B5BD2">
        <w:t>,</w:t>
      </w:r>
    </w:p>
    <w:p w14:paraId="7B6CA43F" w14:textId="5AC7EA4B" w:rsidR="00F45A3F" w:rsidRDefault="000F3CE4" w:rsidP="00C95A7F">
      <w:pPr>
        <w:pStyle w:val="Akapitzlist"/>
        <w:numPr>
          <w:ilvl w:val="0"/>
          <w:numId w:val="30"/>
        </w:numPr>
        <w:spacing w:after="160" w:line="259" w:lineRule="auto"/>
        <w:jc w:val="both"/>
      </w:pPr>
      <w:r>
        <w:t>w przypadku gdy</w:t>
      </w:r>
      <w:r w:rsidR="00F45A3F">
        <w:t xml:space="preserve"> Komisja ustali, iż zgłoszenie należy uznać za zasadne, protokół zawiera również rekomendację działań zalecanych lub zapobiegawczych</w:t>
      </w:r>
      <w:r w:rsidR="000B5BD2">
        <w:t>,</w:t>
      </w:r>
    </w:p>
    <w:p w14:paraId="11E5F5A8" w14:textId="4F506BE8" w:rsidR="00F45A3F" w:rsidRDefault="000B5BD2" w:rsidP="00C95A7F">
      <w:pPr>
        <w:pStyle w:val="Akapitzlist"/>
        <w:numPr>
          <w:ilvl w:val="0"/>
          <w:numId w:val="30"/>
        </w:numPr>
        <w:spacing w:after="160" w:line="259" w:lineRule="auto"/>
        <w:jc w:val="both"/>
      </w:pPr>
      <w:r>
        <w:t>p</w:t>
      </w:r>
      <w:r w:rsidR="00F45A3F">
        <w:t>odpisy członków Komisji.</w:t>
      </w:r>
    </w:p>
    <w:p w14:paraId="3E0DEFBE" w14:textId="7EAD87B9" w:rsidR="00F45A3F" w:rsidRDefault="00F45A3F" w:rsidP="00C95A7F">
      <w:pPr>
        <w:pStyle w:val="Akapitzlist"/>
        <w:numPr>
          <w:ilvl w:val="0"/>
          <w:numId w:val="29"/>
        </w:numPr>
        <w:spacing w:after="160" w:line="259" w:lineRule="auto"/>
        <w:jc w:val="both"/>
      </w:pPr>
      <w:r>
        <w:t xml:space="preserve">Wzór raportu stanowi </w:t>
      </w:r>
      <w:r w:rsidRPr="008A7186">
        <w:rPr>
          <w:b/>
          <w:bCs/>
        </w:rPr>
        <w:t>załącznik nr 6</w:t>
      </w:r>
      <w:r w:rsidR="000F3CE4">
        <w:t xml:space="preserve"> do niniejszej procedury.</w:t>
      </w:r>
    </w:p>
    <w:p w14:paraId="37B33154" w14:textId="1B1C8534" w:rsidR="00F45A3F" w:rsidRDefault="00F45A3F" w:rsidP="00C95A7F">
      <w:pPr>
        <w:pStyle w:val="Akapitzlist"/>
        <w:numPr>
          <w:ilvl w:val="0"/>
          <w:numId w:val="29"/>
        </w:numPr>
        <w:spacing w:after="160" w:line="259" w:lineRule="auto"/>
        <w:jc w:val="both"/>
      </w:pPr>
      <w:r>
        <w:t>Podpisany przez członków Komisji raport z</w:t>
      </w:r>
      <w:r w:rsidR="000F3CE4">
        <w:t>ostaje przekazany niezwłocznie do Zarządu Spółki.</w:t>
      </w:r>
    </w:p>
    <w:p w14:paraId="70782D2B" w14:textId="77777777" w:rsidR="00F45A3F" w:rsidRDefault="00F45A3F" w:rsidP="000B5BD2">
      <w:pPr>
        <w:pStyle w:val="Akapitzlist"/>
        <w:jc w:val="both"/>
      </w:pPr>
    </w:p>
    <w:p w14:paraId="7B4E9890" w14:textId="77777777" w:rsidR="000B5BD2" w:rsidRDefault="000B5BD2" w:rsidP="000B5BD2">
      <w:pPr>
        <w:jc w:val="both"/>
        <w:rPr>
          <w:rFonts w:cstheme="minorHAnsi"/>
          <w:b/>
        </w:rPr>
      </w:pPr>
    </w:p>
    <w:p w14:paraId="4D69B9AA" w14:textId="2718BE70" w:rsidR="00F45A3F" w:rsidRDefault="00F45A3F" w:rsidP="000B5BD2">
      <w:pPr>
        <w:jc w:val="center"/>
        <w:rPr>
          <w:rFonts w:cstheme="minorHAnsi"/>
          <w:b/>
        </w:rPr>
      </w:pPr>
      <w:r w:rsidRPr="00F52300">
        <w:rPr>
          <w:rFonts w:cstheme="minorHAnsi"/>
          <w:b/>
        </w:rPr>
        <w:lastRenderedPageBreak/>
        <w:t>§</w:t>
      </w:r>
      <w:r>
        <w:rPr>
          <w:rFonts w:cstheme="minorHAnsi"/>
          <w:b/>
        </w:rPr>
        <w:t xml:space="preserve"> 15</w:t>
      </w:r>
    </w:p>
    <w:p w14:paraId="6C049016" w14:textId="77777777" w:rsidR="00F45A3F" w:rsidRDefault="00F45A3F" w:rsidP="000B5BD2">
      <w:pPr>
        <w:jc w:val="center"/>
        <w:rPr>
          <w:rFonts w:cstheme="minorHAnsi"/>
          <w:b/>
        </w:rPr>
      </w:pPr>
      <w:r>
        <w:rPr>
          <w:rFonts w:cstheme="minorHAnsi"/>
          <w:b/>
        </w:rPr>
        <w:t>Decyzje końcowe</w:t>
      </w:r>
    </w:p>
    <w:p w14:paraId="06189A53" w14:textId="7BF55390" w:rsidR="00F45A3F" w:rsidRDefault="00F45A3F" w:rsidP="00C95A7F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>Zarząd Spół</w:t>
      </w:r>
      <w:r w:rsidR="000F3CE4">
        <w:rPr>
          <w:rFonts w:cstheme="minorHAnsi"/>
        </w:rPr>
        <w:t>ki po zapoznaniu się z raportem</w:t>
      </w:r>
      <w:r>
        <w:rPr>
          <w:rFonts w:cstheme="minorHAnsi"/>
        </w:rPr>
        <w:t xml:space="preserve"> końcowym Komisji Wyjaśniającej zatwierdza Rapo</w:t>
      </w:r>
      <w:r w:rsidR="000F3CE4">
        <w:rPr>
          <w:rFonts w:cstheme="minorHAnsi"/>
        </w:rPr>
        <w:t>rt lub wprowadza w nim zmiany.</w:t>
      </w:r>
    </w:p>
    <w:p w14:paraId="78E51F37" w14:textId="7981B232" w:rsidR="00F45A3F" w:rsidRDefault="000F3CE4" w:rsidP="00C95A7F">
      <w:pPr>
        <w:pStyle w:val="Akapitzlist"/>
        <w:numPr>
          <w:ilvl w:val="0"/>
          <w:numId w:val="31"/>
        </w:numPr>
        <w:spacing w:after="160" w:line="259" w:lineRule="auto"/>
        <w:jc w:val="both"/>
        <w:rPr>
          <w:rFonts w:cstheme="minorHAnsi"/>
        </w:rPr>
      </w:pPr>
      <w:r>
        <w:rPr>
          <w:rFonts w:cstheme="minorHAnsi"/>
        </w:rPr>
        <w:t xml:space="preserve">Zatwierdzony lub zmieniony </w:t>
      </w:r>
      <w:r w:rsidR="00F45A3F">
        <w:rPr>
          <w:rFonts w:cstheme="minorHAnsi"/>
        </w:rPr>
        <w:t>Raport końcowy zostaje zwrócony do Komisji, celem wdrożenia lub archiwizacji.</w:t>
      </w:r>
    </w:p>
    <w:p w14:paraId="48A74127" w14:textId="77777777" w:rsidR="00F45A3F" w:rsidRDefault="00F45A3F" w:rsidP="000B5BD2">
      <w:pPr>
        <w:jc w:val="both"/>
        <w:rPr>
          <w:rFonts w:cstheme="minorHAnsi"/>
          <w:b/>
        </w:rPr>
      </w:pPr>
    </w:p>
    <w:p w14:paraId="537B4B7C" w14:textId="77777777" w:rsidR="00F45A3F" w:rsidRPr="003F5581" w:rsidRDefault="00F45A3F" w:rsidP="000B5BD2">
      <w:pPr>
        <w:jc w:val="center"/>
        <w:rPr>
          <w:b/>
        </w:rPr>
      </w:pPr>
      <w:r w:rsidRPr="003F5581">
        <w:rPr>
          <w:rFonts w:cstheme="minorHAnsi"/>
          <w:b/>
        </w:rPr>
        <w:t>§</w:t>
      </w:r>
      <w:r>
        <w:rPr>
          <w:rFonts w:cstheme="minorHAnsi"/>
          <w:b/>
        </w:rPr>
        <w:t xml:space="preserve"> 16</w:t>
      </w:r>
    </w:p>
    <w:p w14:paraId="3C0BB77A" w14:textId="6E7FF259" w:rsidR="00F45A3F" w:rsidRPr="003F5581" w:rsidRDefault="00F45A3F" w:rsidP="000B5BD2">
      <w:pPr>
        <w:jc w:val="center"/>
        <w:rPr>
          <w:b/>
        </w:rPr>
      </w:pPr>
      <w:r w:rsidRPr="003F5581">
        <w:rPr>
          <w:b/>
        </w:rPr>
        <w:t xml:space="preserve">Informacja zwrotna </w:t>
      </w:r>
      <w:r w:rsidRPr="00303294">
        <w:rPr>
          <w:b/>
        </w:rPr>
        <w:t>do</w:t>
      </w:r>
      <w:r w:rsidR="000F3CE4" w:rsidRPr="00303294">
        <w:rPr>
          <w:b/>
        </w:rPr>
        <w:t xml:space="preserve"> sygnalisty</w:t>
      </w:r>
    </w:p>
    <w:p w14:paraId="288A9E96" w14:textId="335F7680" w:rsidR="00F45A3F" w:rsidRDefault="00F45A3F" w:rsidP="000B5BD2">
      <w:pPr>
        <w:jc w:val="both"/>
      </w:pPr>
      <w:r>
        <w:t>Komisja Wyjaśniająca w terminie 3 miesięcy od dnia potwierdzenia przyjęcia zgłoszenia</w:t>
      </w:r>
      <w:r w:rsidR="000B5BD2">
        <w:t xml:space="preserve"> </w:t>
      </w:r>
      <w:r>
        <w:t>przekazuje sygnaliście informację zwrotną dotyczącą podjętych działań następczych, chyba że sygnalista nie podał adresu do kontaktu lub podany adres</w:t>
      </w:r>
      <w:r w:rsidR="000B5BD2">
        <w:t xml:space="preserve">              </w:t>
      </w:r>
      <w:r>
        <w:t xml:space="preserve"> jest nieprawidłowy. Wzór informacji zwrotnej stanowi </w:t>
      </w:r>
      <w:r w:rsidRPr="00EC412F">
        <w:rPr>
          <w:b/>
          <w:bCs/>
        </w:rPr>
        <w:t>załącznik nr 7.</w:t>
      </w:r>
    </w:p>
    <w:p w14:paraId="68F29D1B" w14:textId="77777777" w:rsidR="00F45A3F" w:rsidRDefault="00F45A3F" w:rsidP="000B5BD2">
      <w:pPr>
        <w:jc w:val="both"/>
        <w:rPr>
          <w:rFonts w:cstheme="minorHAnsi"/>
          <w:b/>
        </w:rPr>
      </w:pPr>
    </w:p>
    <w:p w14:paraId="3E8212FD" w14:textId="77777777" w:rsidR="00F45A3F" w:rsidRDefault="00F45A3F" w:rsidP="000B5BD2">
      <w:pPr>
        <w:jc w:val="center"/>
        <w:rPr>
          <w:b/>
        </w:rPr>
      </w:pPr>
      <w:r w:rsidRPr="00053DCE">
        <w:rPr>
          <w:rFonts w:cstheme="minorHAnsi"/>
          <w:b/>
        </w:rPr>
        <w:t>§</w:t>
      </w:r>
      <w:r>
        <w:rPr>
          <w:rFonts w:cstheme="minorHAnsi"/>
          <w:b/>
        </w:rPr>
        <w:t xml:space="preserve"> 17</w:t>
      </w:r>
    </w:p>
    <w:p w14:paraId="1F1F4941" w14:textId="77777777" w:rsidR="00F45A3F" w:rsidRDefault="00F45A3F" w:rsidP="000B5BD2">
      <w:pPr>
        <w:jc w:val="center"/>
        <w:rPr>
          <w:b/>
        </w:rPr>
      </w:pPr>
      <w:r>
        <w:rPr>
          <w:b/>
        </w:rPr>
        <w:t>Zachowanie poufności</w:t>
      </w:r>
    </w:p>
    <w:p w14:paraId="0E4A182F" w14:textId="77777777" w:rsidR="00F45A3F" w:rsidRDefault="00F45A3F" w:rsidP="0079074F">
      <w:pPr>
        <w:jc w:val="center"/>
        <w:rPr>
          <w:b/>
        </w:rPr>
      </w:pPr>
      <w:r>
        <w:rPr>
          <w:b/>
        </w:rPr>
        <w:t>Zakaz działań odwetowych</w:t>
      </w:r>
    </w:p>
    <w:p w14:paraId="4B8E872F" w14:textId="77777777" w:rsidR="00F45A3F" w:rsidRPr="00C31191" w:rsidRDefault="00F45A3F" w:rsidP="00C95A7F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b/>
        </w:rPr>
      </w:pPr>
      <w:r w:rsidRPr="00B20A81">
        <w:t xml:space="preserve">Spółka podejmuje kroki zapewniające ochronę praw i interesów wszystkich osób </w:t>
      </w:r>
      <w:r>
        <w:t>związanych ze zgłoszeniem naruszenia  prawa.</w:t>
      </w:r>
    </w:p>
    <w:p w14:paraId="35E4F42F" w14:textId="01F9BFAF" w:rsidR="00F45A3F" w:rsidRPr="00C31191" w:rsidRDefault="00F45A3F" w:rsidP="00C95A7F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b/>
        </w:rPr>
      </w:pPr>
      <w:r>
        <w:t>Wszystkie osoby upoważnione przez Spółkę do uzyskania dostępu do informacji objętych zgłoszeniem zobowiązane są do zachowania poufności oraz zapewnienia ochrony tożsamości sygnalisty oraz osoby wskazanej w zgłoszeniu. Ochrona dotyczy wszelkich informacji</w:t>
      </w:r>
      <w:r w:rsidR="000F3CE4">
        <w:t>,</w:t>
      </w:r>
      <w:r>
        <w:t xml:space="preserve"> na podstawie których można w sposób bezpośredni</w:t>
      </w:r>
      <w:r w:rsidR="0079074F">
        <w:t xml:space="preserve">                            </w:t>
      </w:r>
      <w:r>
        <w:t xml:space="preserve"> lub pośredni zide</w:t>
      </w:r>
      <w:r w:rsidR="000F3CE4">
        <w:t>ntyfikować tożsamość tych osób.</w:t>
      </w:r>
    </w:p>
    <w:p w14:paraId="2B788E4F" w14:textId="091E8C18" w:rsidR="00F45A3F" w:rsidRPr="00C31191" w:rsidRDefault="00F45A3F" w:rsidP="00C95A7F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b/>
        </w:rPr>
      </w:pPr>
      <w:r>
        <w:t>Spółka zakazuje stosowania wobec sygnalisty i osoby, której dotyczy zgłoszenie</w:t>
      </w:r>
      <w:r w:rsidR="000F3CE4">
        <w:t>,</w:t>
      </w:r>
      <w:r>
        <w:t xml:space="preserve"> jakichkolwiek działań odwetowych, środków represji, dyskryminacji lub innego rodzaju niesprawiedliwego traktowania. Wszelkie takie działania będą traktowane jako poważne naruszenie zasad procedury. Osoby dopuszczające się takich działań muszą liczyć się z </w:t>
      </w:r>
      <w:r w:rsidRPr="00303294">
        <w:t>odpowiedzialności</w:t>
      </w:r>
      <w:r w:rsidR="000F3CE4" w:rsidRPr="00303294">
        <w:t>ą</w:t>
      </w:r>
      <w:r w:rsidRPr="00303294">
        <w:t xml:space="preserve"> dyscyplinarną</w:t>
      </w:r>
      <w:r w:rsidR="000F3CE4">
        <w:t>,</w:t>
      </w:r>
      <w:r w:rsidR="00061E9C">
        <w:t xml:space="preserve"> w tym </w:t>
      </w:r>
      <w:r>
        <w:t>rozwiązaniem umowy ze Spółką. Zachowania takie mogą rodzić także odpowiedzialność materialną zgodnie z obowiązującymi przepisami prawa.</w:t>
      </w:r>
    </w:p>
    <w:p w14:paraId="4AF8415E" w14:textId="07F5BCF1" w:rsidR="00F45A3F" w:rsidRPr="000A60D1" w:rsidRDefault="00F45A3F" w:rsidP="00C95A7F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b/>
        </w:rPr>
      </w:pPr>
      <w:r>
        <w:t xml:space="preserve">Wszelkie przejawy </w:t>
      </w:r>
      <w:proofErr w:type="spellStart"/>
      <w:r>
        <w:t>zachowań</w:t>
      </w:r>
      <w:proofErr w:type="spellEnd"/>
      <w:r>
        <w:t xml:space="preserve"> wskazanych w pkt 3 powyżej należy zgłaszać do członków Zespołu do Spraw Zgodności, który przekaż</w:t>
      </w:r>
      <w:r w:rsidR="0079074F">
        <w:t>e</w:t>
      </w:r>
      <w:r>
        <w:t xml:space="preserve"> je do wyjaśnienia </w:t>
      </w:r>
      <w:r w:rsidR="00061E9C">
        <w:t>Komisji Wyjaśniającej powołanej</w:t>
      </w:r>
      <w:r>
        <w:t xml:space="preserve"> w celu wyjaśnienia konkretnego naruszenia prawa. Wzór zgłoszenia stanowi </w:t>
      </w:r>
      <w:r w:rsidRPr="008A3ADF">
        <w:rPr>
          <w:b/>
          <w:bCs/>
        </w:rPr>
        <w:t>załącznik nr 9</w:t>
      </w:r>
      <w:r>
        <w:t xml:space="preserve"> do procedury.</w:t>
      </w:r>
    </w:p>
    <w:p w14:paraId="30F096BB" w14:textId="2886FE7F" w:rsidR="00F45A3F" w:rsidRPr="00C31191" w:rsidRDefault="00F45A3F" w:rsidP="00C95A7F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b/>
        </w:rPr>
      </w:pPr>
      <w:r>
        <w:t>Komisja Wyjaśniająca podejmie odpowiednie działania mające na celu usunięcie negatywnych skutków takich działa</w:t>
      </w:r>
      <w:r w:rsidR="00061E9C">
        <w:t>ń.</w:t>
      </w:r>
    </w:p>
    <w:p w14:paraId="18D346C6" w14:textId="77777777" w:rsidR="00F45A3F" w:rsidRDefault="00F45A3F" w:rsidP="000B5BD2">
      <w:pPr>
        <w:ind w:left="360"/>
        <w:jc w:val="both"/>
        <w:rPr>
          <w:rFonts w:cstheme="minorHAnsi"/>
          <w:b/>
        </w:rPr>
      </w:pPr>
    </w:p>
    <w:p w14:paraId="7C4ECE4D" w14:textId="77777777" w:rsidR="00F45A3F" w:rsidRPr="008D2522" w:rsidRDefault="00F45A3F" w:rsidP="000B5BD2">
      <w:pPr>
        <w:ind w:left="360"/>
        <w:jc w:val="center"/>
        <w:rPr>
          <w:b/>
        </w:rPr>
      </w:pPr>
      <w:r w:rsidRPr="008D2522">
        <w:rPr>
          <w:rFonts w:cstheme="minorHAnsi"/>
          <w:b/>
        </w:rPr>
        <w:t>§</w:t>
      </w:r>
      <w:r>
        <w:rPr>
          <w:rFonts w:cstheme="minorHAnsi"/>
          <w:b/>
        </w:rPr>
        <w:t xml:space="preserve"> 18</w:t>
      </w:r>
    </w:p>
    <w:p w14:paraId="764D5EE6" w14:textId="77777777" w:rsidR="00F45A3F" w:rsidRPr="00BC7FC7" w:rsidRDefault="00F45A3F" w:rsidP="000B5BD2">
      <w:pPr>
        <w:jc w:val="center"/>
        <w:rPr>
          <w:b/>
        </w:rPr>
      </w:pPr>
      <w:r w:rsidRPr="00BC7FC7">
        <w:rPr>
          <w:b/>
        </w:rPr>
        <w:t>Zgłoszenie zewnętrzne</w:t>
      </w:r>
    </w:p>
    <w:p w14:paraId="478853B3" w14:textId="77777777" w:rsidR="00061E9C" w:rsidRDefault="00F45A3F" w:rsidP="00C95A7F">
      <w:pPr>
        <w:pStyle w:val="Akapitzlist"/>
        <w:numPr>
          <w:ilvl w:val="0"/>
          <w:numId w:val="17"/>
        </w:numPr>
        <w:spacing w:after="160" w:line="259" w:lineRule="auto"/>
        <w:jc w:val="both"/>
      </w:pPr>
      <w:r>
        <w:t>Zgłoszenia dotyczące nieprawidłowości mogą być zgłaszane przez sygnalistę bez uprzedniego zgłoszenia wewnętrznego do właściwych orga</w:t>
      </w:r>
      <w:r w:rsidR="00061E9C">
        <w:t>nów publicznych oraz Rzecznika Praw Obywatelskich, a w stosownych przypadkach</w:t>
      </w:r>
      <w:r>
        <w:t xml:space="preserve"> do instytucji, organów lub jednostek organizacyjnych Unii Europejskiej zgodnie z zapisami ustawy</w:t>
      </w:r>
    </w:p>
    <w:p w14:paraId="113E925F" w14:textId="681A7F57" w:rsidR="00F45A3F" w:rsidRDefault="00061E9C" w:rsidP="00061E9C">
      <w:pPr>
        <w:pStyle w:val="Akapitzlist"/>
        <w:spacing w:after="160" w:line="259" w:lineRule="auto"/>
        <w:jc w:val="both"/>
      </w:pPr>
      <w:r>
        <w:t>o ochronie sygnalistów.</w:t>
      </w:r>
    </w:p>
    <w:p w14:paraId="288200E2" w14:textId="77777777" w:rsidR="00F45A3F" w:rsidRPr="005E0608" w:rsidRDefault="00F45A3F" w:rsidP="00C95A7F">
      <w:pPr>
        <w:pStyle w:val="Akapitzlist"/>
        <w:numPr>
          <w:ilvl w:val="0"/>
          <w:numId w:val="17"/>
        </w:numPr>
        <w:spacing w:after="160" w:line="259" w:lineRule="auto"/>
        <w:jc w:val="both"/>
      </w:pPr>
      <w:r>
        <w:t>Szczegółowe informacje na temat sposobu przyjmowania zgłoszeń zewnętrznych dostępne są na stronach internetowych tych podmiotów.</w:t>
      </w:r>
    </w:p>
    <w:p w14:paraId="2F82AB76" w14:textId="77777777" w:rsidR="00F45A3F" w:rsidRPr="0097473D" w:rsidRDefault="00F45A3F" w:rsidP="0079074F">
      <w:pPr>
        <w:jc w:val="center"/>
        <w:rPr>
          <w:rFonts w:cstheme="minorHAnsi"/>
          <w:b/>
        </w:rPr>
      </w:pPr>
      <w:r w:rsidRPr="0097473D">
        <w:rPr>
          <w:rFonts w:cstheme="minorHAnsi"/>
          <w:b/>
        </w:rPr>
        <w:lastRenderedPageBreak/>
        <w:t>§ 19</w:t>
      </w:r>
    </w:p>
    <w:p w14:paraId="55F39732" w14:textId="0285D7D4" w:rsidR="00F45A3F" w:rsidRPr="0079074F" w:rsidRDefault="00F45A3F" w:rsidP="0079074F">
      <w:pPr>
        <w:pStyle w:val="Nagwek1"/>
        <w:suppressAutoHyphens/>
        <w:spacing w:before="0" w:line="360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7473D">
        <w:rPr>
          <w:rFonts w:asciiTheme="minorHAnsi" w:hAnsiTheme="minorHAnsi" w:cstheme="minorHAnsi"/>
          <w:b/>
          <w:bCs/>
          <w:color w:val="auto"/>
          <w:sz w:val="22"/>
          <w:szCs w:val="22"/>
        </w:rPr>
        <w:t>Ochrona danych osobowych</w:t>
      </w:r>
    </w:p>
    <w:p w14:paraId="7CFC3B9E" w14:textId="54BC16D9" w:rsidR="00F45A3F" w:rsidRPr="0097473D" w:rsidRDefault="00061E9C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>
        <w:rPr>
          <w:rFonts w:cstheme="minorHAnsi"/>
        </w:rPr>
        <w:t xml:space="preserve">Merida Polska Sp. z o.o. </w:t>
      </w:r>
      <w:r w:rsidR="00F45A3F" w:rsidRPr="0097473D">
        <w:rPr>
          <w:rFonts w:cstheme="minorHAnsi"/>
        </w:rPr>
        <w:t>jest administratorem danych osobowych, które</w:t>
      </w:r>
      <w:r w:rsidR="00F45A3F">
        <w:rPr>
          <w:rFonts w:cstheme="minorHAnsi"/>
        </w:rPr>
        <w:t xml:space="preserve"> są</w:t>
      </w:r>
      <w:r w:rsidR="00F45A3F" w:rsidRPr="0097473D">
        <w:rPr>
          <w:rFonts w:cstheme="minorHAnsi"/>
        </w:rPr>
        <w:t xml:space="preserve"> przetwarza</w:t>
      </w:r>
      <w:r w:rsidR="00F45A3F">
        <w:rPr>
          <w:rFonts w:cstheme="minorHAnsi"/>
        </w:rPr>
        <w:t>ne</w:t>
      </w:r>
      <w:r w:rsidR="00F45A3F">
        <w:rPr>
          <w:rFonts w:cstheme="minorHAnsi"/>
        </w:rPr>
        <w:br/>
      </w:r>
      <w:r w:rsidR="00F45A3F" w:rsidRPr="0097473D">
        <w:rPr>
          <w:rFonts w:cstheme="minorHAnsi"/>
        </w:rPr>
        <w:t xml:space="preserve"> w związku z przyjmowaniem i rozpatrywaniem zgłoszeń wewnętrznych. Dane osobowe przetwarzane są wyłącznie z polecenia administratora.</w:t>
      </w:r>
    </w:p>
    <w:p w14:paraId="73881029" w14:textId="4C64BD66" w:rsidR="00F45A3F" w:rsidRPr="0097473D" w:rsidRDefault="00F45A3F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 w:rsidRPr="0097473D">
        <w:rPr>
          <w:rFonts w:cstheme="minorHAnsi"/>
        </w:rPr>
        <w:t>Dane osobowe sygnalisty przetwarzane są na podstawie art</w:t>
      </w:r>
      <w:bookmarkStart w:id="1" w:name="_Hlk176434824"/>
      <w:r w:rsidRPr="0097473D">
        <w:rPr>
          <w:rFonts w:cstheme="minorHAnsi"/>
        </w:rPr>
        <w:t>. 6 ust. 1 lit. c) RODO w związku</w:t>
      </w:r>
      <w:r>
        <w:rPr>
          <w:rFonts w:cstheme="minorHAnsi"/>
        </w:rPr>
        <w:br/>
      </w:r>
      <w:r w:rsidRPr="0097473D">
        <w:rPr>
          <w:rFonts w:cstheme="minorHAnsi"/>
        </w:rPr>
        <w:t>z przepisami ustawy z dnia 14 czerwca 2024</w:t>
      </w:r>
      <w:r w:rsidR="00061E9C">
        <w:rPr>
          <w:rFonts w:cstheme="minorHAnsi"/>
        </w:rPr>
        <w:t xml:space="preserve"> </w:t>
      </w:r>
      <w:r w:rsidRPr="0097473D">
        <w:rPr>
          <w:rFonts w:cstheme="minorHAnsi"/>
        </w:rPr>
        <w:t>r. o ochronie sygnalistów. Dan</w:t>
      </w:r>
      <w:r w:rsidR="00061E9C">
        <w:rPr>
          <w:rFonts w:cstheme="minorHAnsi"/>
        </w:rPr>
        <w:t xml:space="preserve">e osobowe mogą być przetwarzane </w:t>
      </w:r>
      <w:r w:rsidRPr="0097473D">
        <w:rPr>
          <w:rFonts w:cstheme="minorHAnsi"/>
        </w:rPr>
        <w:t>także na podstawie art. 9 ust. 1 lit. g) RODO, jeżeli sygnalista poda w zgłoszeniu dane osobowe należące do szczególnych kategorii danych osobowych.</w:t>
      </w:r>
      <w:bookmarkEnd w:id="1"/>
    </w:p>
    <w:p w14:paraId="45E0E729" w14:textId="5E59FAC7" w:rsidR="00F45A3F" w:rsidRPr="0097473D" w:rsidRDefault="00F45A3F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 w:rsidRPr="0097473D">
        <w:rPr>
          <w:rFonts w:cstheme="minorHAnsi"/>
        </w:rPr>
        <w:t xml:space="preserve">Osoby wyznaczone do obsługi zgłoszeń pozyskują wyłącznie dane niezbędne. Dane osobowe nie </w:t>
      </w:r>
      <w:r w:rsidR="00061E9C">
        <w:rPr>
          <w:rFonts w:cstheme="minorHAnsi"/>
        </w:rPr>
        <w:t>mające znaczenia dla zgłoszenia</w:t>
      </w:r>
      <w:r w:rsidRPr="0097473D">
        <w:rPr>
          <w:rFonts w:cstheme="minorHAnsi"/>
        </w:rPr>
        <w:t xml:space="preserve"> nie są zbierane, a</w:t>
      </w:r>
      <w:r w:rsidR="00061E9C">
        <w:rPr>
          <w:rFonts w:cstheme="minorHAnsi"/>
        </w:rPr>
        <w:t xml:space="preserve"> w razie przypadkowego zebrania</w:t>
      </w:r>
      <w:r w:rsidRPr="0097473D">
        <w:rPr>
          <w:rFonts w:cstheme="minorHAnsi"/>
        </w:rPr>
        <w:t xml:space="preserve"> są usuwane bez zbędnej zwłoki, nie dłużej niż do upływu 14 dni od momentu ustalenia, że nie mają znaczenia dla sprawy.</w:t>
      </w:r>
    </w:p>
    <w:p w14:paraId="6010E9E2" w14:textId="77777777" w:rsidR="00F45A3F" w:rsidRPr="0097473D" w:rsidRDefault="00F45A3F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 w:rsidRPr="0097473D">
        <w:rPr>
          <w:rFonts w:cstheme="minorHAnsi"/>
        </w:rPr>
        <w:t>Administrator realizuje obowiązek informacyjny, o którym mowa w art. 13-14 RODO, wobec: sygnalisty, osoby, której dotyczy zgłoszenie, osoby wskazanej w zgłoszeniu.</w:t>
      </w:r>
    </w:p>
    <w:p w14:paraId="03E962B7" w14:textId="77777777" w:rsidR="00F45A3F" w:rsidRPr="0097473D" w:rsidRDefault="00F45A3F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 w:rsidRPr="0097473D">
        <w:rPr>
          <w:rFonts w:cstheme="minorHAnsi"/>
        </w:rPr>
        <w:t xml:space="preserve">Administrator realizuje prawa osób, których dane dotyczą, wskazane w art. 15-22 RODO, </w:t>
      </w:r>
      <w:r>
        <w:rPr>
          <w:rFonts w:cstheme="minorHAnsi"/>
        </w:rPr>
        <w:br/>
      </w:r>
      <w:r w:rsidRPr="0097473D">
        <w:rPr>
          <w:rFonts w:cstheme="minorHAnsi"/>
        </w:rPr>
        <w:t xml:space="preserve">z ograniczeniami w zakresie prawa dostępu do danych osobowych, wskazanych w ustawie </w:t>
      </w:r>
      <w:r>
        <w:rPr>
          <w:rFonts w:cstheme="minorHAnsi"/>
        </w:rPr>
        <w:br/>
      </w:r>
      <w:r w:rsidRPr="0097473D">
        <w:rPr>
          <w:rFonts w:cstheme="minorHAnsi"/>
        </w:rPr>
        <w:t>o ochronie sygnalistów. Administrator pozyskuje zgodę sygnalisty na ujawnienie jego tożsamości, jeżeli taka jest inicjatywa i wola sygnalisty. Administrator realizuje obowiązek informacyjny wobec sygnalisty w przypadku pozyskania takiej zgody.</w:t>
      </w:r>
    </w:p>
    <w:p w14:paraId="2B7CB144" w14:textId="77777777" w:rsidR="00F45A3F" w:rsidRPr="0097473D" w:rsidRDefault="00F45A3F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 w:rsidRPr="0097473D">
        <w:rPr>
          <w:rFonts w:cstheme="minorHAnsi"/>
        </w:rPr>
        <w:t>Jeżeli zgłoszenie sygnalisty nosi znamiona naruszenia ochrony danych, administrator zapewnia realizację obowiązków wynikających z art. 33-34 RODO.</w:t>
      </w:r>
    </w:p>
    <w:p w14:paraId="69A94CAD" w14:textId="77777777" w:rsidR="00F45A3F" w:rsidRPr="0097473D" w:rsidRDefault="00F45A3F" w:rsidP="00C95A7F">
      <w:pPr>
        <w:pStyle w:val="Akapitzlist"/>
        <w:numPr>
          <w:ilvl w:val="0"/>
          <w:numId w:val="32"/>
        </w:numPr>
        <w:suppressAutoHyphens/>
        <w:spacing w:after="0"/>
        <w:ind w:left="851"/>
        <w:jc w:val="both"/>
        <w:rPr>
          <w:rFonts w:cstheme="minorHAnsi"/>
        </w:rPr>
      </w:pPr>
      <w:r w:rsidRPr="0097473D">
        <w:rPr>
          <w:rFonts w:cstheme="minorHAnsi"/>
        </w:rPr>
        <w:t>Administrator przetwarza dane osobowe zgodnie z zasadami ochrony danych wskazanymi w art. 5 RODO. Administrator zapewnia bezpieczeństwo danych osobowych, zabezpieczając je przed nieuprawnionym dostępem, ujawnieniem i zniszczeniem.</w:t>
      </w:r>
    </w:p>
    <w:p w14:paraId="1EEF73EC" w14:textId="77777777" w:rsidR="00F45A3F" w:rsidRDefault="00F45A3F" w:rsidP="000B5BD2">
      <w:pPr>
        <w:jc w:val="both"/>
        <w:rPr>
          <w:rFonts w:cstheme="minorHAnsi"/>
          <w:b/>
        </w:rPr>
      </w:pPr>
    </w:p>
    <w:p w14:paraId="633EEDDD" w14:textId="77777777" w:rsidR="00F45A3F" w:rsidRPr="00D91D13" w:rsidRDefault="00F45A3F" w:rsidP="0079074F">
      <w:pPr>
        <w:jc w:val="center"/>
        <w:rPr>
          <w:rFonts w:cstheme="minorHAnsi"/>
          <w:b/>
        </w:rPr>
      </w:pPr>
      <w:r w:rsidRPr="00D91D13">
        <w:rPr>
          <w:rFonts w:cstheme="minorHAnsi"/>
          <w:b/>
        </w:rPr>
        <w:t>§</w:t>
      </w:r>
      <w:r>
        <w:rPr>
          <w:rFonts w:cstheme="minorHAnsi"/>
          <w:b/>
        </w:rPr>
        <w:t xml:space="preserve"> 20</w:t>
      </w:r>
    </w:p>
    <w:p w14:paraId="00381BEB" w14:textId="4849D60D" w:rsidR="00F45A3F" w:rsidRDefault="00F45A3F" w:rsidP="0079074F">
      <w:pPr>
        <w:jc w:val="center"/>
        <w:rPr>
          <w:b/>
        </w:rPr>
      </w:pPr>
      <w:r w:rsidRPr="000C47BB">
        <w:rPr>
          <w:b/>
        </w:rPr>
        <w:t>Postanowienia końcowe</w:t>
      </w:r>
    </w:p>
    <w:p w14:paraId="0393B7AE" w14:textId="58DCEE47" w:rsidR="00F45A3F" w:rsidRDefault="00061E9C" w:rsidP="00C95A7F">
      <w:pPr>
        <w:pStyle w:val="Akapitzlist"/>
        <w:numPr>
          <w:ilvl w:val="0"/>
          <w:numId w:val="25"/>
        </w:numPr>
        <w:spacing w:after="160" w:line="259" w:lineRule="auto"/>
        <w:jc w:val="both"/>
      </w:pPr>
      <w:r>
        <w:t>Treść procedury</w:t>
      </w:r>
      <w:r w:rsidR="00F45A3F">
        <w:t xml:space="preserve"> została skonsultowana z przedstawicielami pracowników w Spółce.</w:t>
      </w:r>
    </w:p>
    <w:p w14:paraId="54FA2F41" w14:textId="77777777" w:rsidR="00F45A3F" w:rsidRDefault="00F45A3F" w:rsidP="00C95A7F">
      <w:pPr>
        <w:pStyle w:val="Akapitzlist"/>
        <w:numPr>
          <w:ilvl w:val="0"/>
          <w:numId w:val="25"/>
        </w:numPr>
        <w:spacing w:after="160" w:line="259" w:lineRule="auto"/>
        <w:jc w:val="both"/>
      </w:pPr>
      <w:r>
        <w:t>Procedura wchodzi w życie po upływie 7 dni od ogłoszenia w sposób przyjęty w Spółce.</w:t>
      </w:r>
    </w:p>
    <w:p w14:paraId="515F70D5" w14:textId="7741B0C1" w:rsidR="00F45A3F" w:rsidRDefault="00F45A3F" w:rsidP="00C95A7F">
      <w:pPr>
        <w:pStyle w:val="Akapitzlist"/>
        <w:numPr>
          <w:ilvl w:val="0"/>
          <w:numId w:val="25"/>
        </w:numPr>
        <w:spacing w:after="160" w:line="259" w:lineRule="auto"/>
        <w:jc w:val="both"/>
      </w:pPr>
      <w:r>
        <w:t>W sprawach nieuregulowanych niniejszą procedurą zastosowanie znajdują przepisy ustawy o ochronie sygnalistów z dnia 14 czerwca 2024 r.</w:t>
      </w:r>
    </w:p>
    <w:p w14:paraId="21132174" w14:textId="77777777" w:rsidR="0079074F" w:rsidRDefault="0079074F" w:rsidP="000B5BD2">
      <w:pPr>
        <w:jc w:val="both"/>
      </w:pPr>
    </w:p>
    <w:p w14:paraId="2324A27A" w14:textId="77777777" w:rsidR="0079074F" w:rsidRDefault="0079074F" w:rsidP="000B5BD2">
      <w:pPr>
        <w:jc w:val="both"/>
      </w:pPr>
    </w:p>
    <w:p w14:paraId="12FCE2E7" w14:textId="77777777" w:rsidR="0079074F" w:rsidRDefault="0079074F" w:rsidP="000B5BD2">
      <w:pPr>
        <w:jc w:val="both"/>
      </w:pPr>
    </w:p>
    <w:p w14:paraId="39D3DDB6" w14:textId="77777777" w:rsidR="0079074F" w:rsidRDefault="0079074F" w:rsidP="000B5BD2">
      <w:pPr>
        <w:jc w:val="both"/>
      </w:pPr>
    </w:p>
    <w:p w14:paraId="1F792C5B" w14:textId="77777777" w:rsidR="0079074F" w:rsidRDefault="0079074F" w:rsidP="000B5BD2">
      <w:pPr>
        <w:jc w:val="both"/>
      </w:pPr>
    </w:p>
    <w:p w14:paraId="5BF3A4FE" w14:textId="77777777" w:rsidR="0079074F" w:rsidRDefault="0079074F" w:rsidP="000B5BD2">
      <w:pPr>
        <w:jc w:val="both"/>
      </w:pPr>
    </w:p>
    <w:p w14:paraId="7B441DD7" w14:textId="77777777" w:rsidR="0079074F" w:rsidRDefault="0079074F" w:rsidP="000B5BD2">
      <w:pPr>
        <w:jc w:val="both"/>
      </w:pPr>
    </w:p>
    <w:p w14:paraId="6432D708" w14:textId="77777777" w:rsidR="0079074F" w:rsidRDefault="0079074F" w:rsidP="000B5BD2">
      <w:pPr>
        <w:jc w:val="both"/>
      </w:pPr>
    </w:p>
    <w:p w14:paraId="55787B83" w14:textId="7F39B71D" w:rsidR="00F45A3F" w:rsidRDefault="00F45A3F" w:rsidP="000B5BD2">
      <w:pPr>
        <w:jc w:val="both"/>
      </w:pPr>
      <w:r>
        <w:lastRenderedPageBreak/>
        <w:t>Załącznik</w:t>
      </w:r>
      <w:r w:rsidR="0079074F">
        <w:t>:</w:t>
      </w:r>
    </w:p>
    <w:p w14:paraId="0A272C28" w14:textId="4B9779D9" w:rsidR="00F45A3F" w:rsidRDefault="00061E9C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Wzór zgłoszenia.</w:t>
      </w:r>
    </w:p>
    <w:p w14:paraId="1BD5ACA9" w14:textId="0D2A45E3" w:rsidR="00F45A3F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Wzór pot</w:t>
      </w:r>
      <w:r w:rsidR="00061E9C">
        <w:t>wierdzenia przyjęcia zgłoszenia.</w:t>
      </w:r>
    </w:p>
    <w:p w14:paraId="6F4D96B9" w14:textId="728E1F09" w:rsidR="00F45A3F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Wzór</w:t>
      </w:r>
      <w:r w:rsidR="00061E9C">
        <w:t xml:space="preserve"> rejestru zgłoszeń wewnętrznych.</w:t>
      </w:r>
    </w:p>
    <w:p w14:paraId="0E9C346A" w14:textId="514998A6" w:rsidR="00F45A3F" w:rsidRPr="00303294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Upoważnienie Spółk</w:t>
      </w:r>
      <w:r w:rsidR="00061E9C">
        <w:t xml:space="preserve">i do </w:t>
      </w:r>
      <w:r w:rsidR="00061E9C" w:rsidRPr="00303294">
        <w:t>przyjmowania/rozpatrywania zgłoszeń.</w:t>
      </w:r>
    </w:p>
    <w:p w14:paraId="19938E11" w14:textId="0F72063A" w:rsidR="00F45A3F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Zobow</w:t>
      </w:r>
      <w:r w:rsidR="00061E9C">
        <w:t>iązanie do zachowania poufności.</w:t>
      </w:r>
    </w:p>
    <w:p w14:paraId="4CBDE78F" w14:textId="2465A475" w:rsidR="00F45A3F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 xml:space="preserve">Raport </w:t>
      </w:r>
      <w:r w:rsidR="00061E9C">
        <w:t>z działań Komisji Wyjaśniającej.</w:t>
      </w:r>
    </w:p>
    <w:p w14:paraId="2C693A6F" w14:textId="6A62D79F" w:rsidR="00F45A3F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Informacja zwrotna</w:t>
      </w:r>
      <w:r w:rsidR="00061E9C">
        <w:t>.</w:t>
      </w:r>
    </w:p>
    <w:p w14:paraId="5BF373DD" w14:textId="6CF6D4A9" w:rsidR="00F45A3F" w:rsidRDefault="00F45A3F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Obowiązek informacyjny z art. 14 RODO</w:t>
      </w:r>
      <w:r w:rsidR="00061E9C">
        <w:t>.</w:t>
      </w:r>
    </w:p>
    <w:p w14:paraId="25B0C053" w14:textId="74D035F9" w:rsidR="00F45A3F" w:rsidRDefault="00061E9C" w:rsidP="00C95A7F">
      <w:pPr>
        <w:pStyle w:val="Akapitzlist"/>
        <w:numPr>
          <w:ilvl w:val="0"/>
          <w:numId w:val="7"/>
        </w:numPr>
        <w:spacing w:after="160" w:line="259" w:lineRule="auto"/>
        <w:jc w:val="both"/>
      </w:pPr>
      <w:r>
        <w:t>Zgłoszenie działań odwetowych.</w:t>
      </w:r>
    </w:p>
    <w:p w14:paraId="1EF8252F" w14:textId="77777777" w:rsidR="0062419F" w:rsidRPr="002F3D76" w:rsidRDefault="0062419F" w:rsidP="0062419F">
      <w:pPr>
        <w:rPr>
          <w:rFonts w:cstheme="minorHAnsi"/>
          <w:sz w:val="24"/>
          <w:szCs w:val="24"/>
        </w:rPr>
      </w:pPr>
    </w:p>
    <w:p w14:paraId="30B75145" w14:textId="77777777" w:rsidR="0062419F" w:rsidRPr="0062419F" w:rsidRDefault="0062419F" w:rsidP="0062419F">
      <w:pPr>
        <w:tabs>
          <w:tab w:val="left" w:pos="8535"/>
        </w:tabs>
      </w:pPr>
    </w:p>
    <w:sectPr w:rsidR="0062419F" w:rsidRPr="0062419F" w:rsidSect="0062419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B95960" w14:textId="77777777" w:rsidR="00B21FC8" w:rsidRDefault="00B21FC8" w:rsidP="008328AE">
      <w:pPr>
        <w:spacing w:after="0" w:line="240" w:lineRule="auto"/>
      </w:pPr>
      <w:r>
        <w:separator/>
      </w:r>
    </w:p>
  </w:endnote>
  <w:endnote w:type="continuationSeparator" w:id="0">
    <w:p w14:paraId="1D000D5A" w14:textId="77777777" w:rsidR="00B21FC8" w:rsidRDefault="00B21FC8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7D63F" w14:textId="77777777" w:rsidR="00220946" w:rsidRDefault="002209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8" w:type="dxa"/>
      <w:tblInd w:w="134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19"/>
      <w:gridCol w:w="3402"/>
      <w:gridCol w:w="2551"/>
      <w:gridCol w:w="1276"/>
    </w:tblGrid>
    <w:tr w:rsidR="008328AE" w:rsidRPr="001D20D1" w14:paraId="71D5CB2B" w14:textId="77777777" w:rsidTr="001D20D1">
      <w:trPr>
        <w:tblHeader/>
      </w:trPr>
      <w:tc>
        <w:tcPr>
          <w:tcW w:w="3119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21BFA0B" w14:textId="51E979EE" w:rsidR="008328AE" w:rsidRPr="001D20D1" w:rsidRDefault="008328AE" w:rsidP="008328AE">
          <w:pPr>
            <w:spacing w:after="0" w:line="240" w:lineRule="auto"/>
            <w:rPr>
              <w:rFonts w:cstheme="minorHAnsi"/>
              <w:sz w:val="16"/>
              <w:szCs w:val="16"/>
            </w:rPr>
          </w:pPr>
          <w:r w:rsidRPr="001D20D1">
            <w:rPr>
              <w:rFonts w:ascii="Arial" w:hAnsi="Arial" w:cs="Arial"/>
              <w:sz w:val="14"/>
              <w:szCs w:val="14"/>
            </w:rPr>
            <w:t>Opracował:</w:t>
          </w:r>
          <w:r w:rsidR="001D20D1">
            <w:rPr>
              <w:rFonts w:ascii="Arial" w:hAnsi="Arial" w:cs="Arial"/>
              <w:sz w:val="14"/>
              <w:szCs w:val="14"/>
            </w:rPr>
            <w:t xml:space="preserve">  </w:t>
          </w:r>
          <w:r w:rsidR="001D20D1" w:rsidRPr="001D20D1">
            <w:rPr>
              <w:rFonts w:cstheme="minorHAnsi"/>
              <w:sz w:val="16"/>
              <w:szCs w:val="16"/>
            </w:rPr>
            <w:t>Ewa Bujak</w:t>
          </w:r>
          <w:r w:rsidR="001D20D1">
            <w:rPr>
              <w:rFonts w:cstheme="minorHAnsi"/>
              <w:sz w:val="16"/>
              <w:szCs w:val="16"/>
            </w:rPr>
            <w:t xml:space="preserve">        </w:t>
          </w:r>
          <w:r w:rsidR="001D20D1" w:rsidRPr="001D20D1">
            <w:rPr>
              <w:rFonts w:cstheme="minorHAnsi"/>
              <w:sz w:val="16"/>
              <w:szCs w:val="16"/>
            </w:rPr>
            <w:t xml:space="preserve"> </w:t>
          </w:r>
        </w:p>
      </w:tc>
      <w:tc>
        <w:tcPr>
          <w:tcW w:w="3402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6541F43" w14:textId="5D50376E" w:rsidR="008328AE" w:rsidRPr="001D20D1" w:rsidRDefault="008328AE" w:rsidP="00AD5C92">
          <w:pPr>
            <w:tabs>
              <w:tab w:val="center" w:pos="1630"/>
            </w:tabs>
            <w:spacing w:after="0" w:line="240" w:lineRule="auto"/>
            <w:rPr>
              <w:rFonts w:cstheme="minorHAnsi"/>
              <w:sz w:val="18"/>
              <w:szCs w:val="18"/>
            </w:rPr>
          </w:pPr>
          <w:r w:rsidRPr="001D20D1">
            <w:rPr>
              <w:rFonts w:cstheme="minorHAnsi"/>
              <w:sz w:val="18"/>
              <w:szCs w:val="18"/>
            </w:rPr>
            <w:t>Zatwierdził:</w:t>
          </w:r>
          <w:r w:rsidR="001D20D1">
            <w:rPr>
              <w:rFonts w:cstheme="minorHAnsi"/>
              <w:sz w:val="18"/>
              <w:szCs w:val="18"/>
            </w:rPr>
            <w:t xml:space="preserve"> </w:t>
          </w:r>
          <w:r w:rsidR="00AD5C92">
            <w:rPr>
              <w:rFonts w:cstheme="minorHAnsi"/>
              <w:sz w:val="18"/>
              <w:szCs w:val="18"/>
            </w:rPr>
            <w:tab/>
            <w:t xml:space="preserve">Zarząd Merida Polska Sp. z o. o. </w:t>
          </w:r>
        </w:p>
        <w:p w14:paraId="644007B6" w14:textId="77777777" w:rsidR="008328AE" w:rsidRPr="00B310AB" w:rsidRDefault="008328AE" w:rsidP="008328AE">
          <w:pPr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2551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0774AEB2" w14:textId="2A8EDFA8" w:rsidR="008328AE" w:rsidRPr="001D20D1" w:rsidRDefault="00220946" w:rsidP="008328AE">
          <w:pPr>
            <w:spacing w:after="0" w:line="240" w:lineRule="auto"/>
            <w:rPr>
              <w:rFonts w:cstheme="minorHAnsi"/>
              <w:sz w:val="18"/>
              <w:szCs w:val="18"/>
            </w:rPr>
          </w:pPr>
          <w:r>
            <w:rPr>
              <w:rFonts w:cstheme="minorHAnsi"/>
              <w:sz w:val="18"/>
              <w:szCs w:val="18"/>
            </w:rPr>
            <w:t>Dzień ogłoszenia</w:t>
          </w:r>
          <w:r w:rsidR="001D20D1">
            <w:rPr>
              <w:rFonts w:cstheme="minorHAnsi"/>
              <w:sz w:val="18"/>
              <w:szCs w:val="18"/>
            </w:rPr>
            <w:t xml:space="preserve"> : </w:t>
          </w:r>
          <w:r w:rsidR="00AD5C92">
            <w:rPr>
              <w:rFonts w:cstheme="minorHAnsi"/>
              <w:sz w:val="18"/>
              <w:szCs w:val="18"/>
            </w:rPr>
            <w:t>17.09.2024</w:t>
          </w:r>
        </w:p>
        <w:p w14:paraId="225EA833" w14:textId="63E370C5" w:rsidR="008328AE" w:rsidRPr="00B310AB" w:rsidRDefault="008328AE" w:rsidP="008328AE">
          <w:pPr>
            <w:spacing w:after="0" w:line="240" w:lineRule="auto"/>
            <w:jc w:val="right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1276" w:type="dxa"/>
          <w:tc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cBorders>
        </w:tcPr>
        <w:p w14:paraId="3016B2CA" w14:textId="17BFBF6F" w:rsidR="008328AE" w:rsidRPr="001D20D1" w:rsidRDefault="008328AE" w:rsidP="001D20D1">
          <w:pPr>
            <w:spacing w:after="0" w:line="240" w:lineRule="auto"/>
            <w:rPr>
              <w:rFonts w:cstheme="minorHAnsi"/>
              <w:sz w:val="18"/>
              <w:szCs w:val="18"/>
            </w:rPr>
          </w:pPr>
          <w:r w:rsidRPr="001D20D1">
            <w:rPr>
              <w:rFonts w:cstheme="minorHAnsi"/>
              <w:sz w:val="18"/>
              <w:szCs w:val="18"/>
            </w:rPr>
            <w:t xml:space="preserve"> Strona:</w:t>
          </w:r>
          <w:r w:rsidR="001D20D1">
            <w:rPr>
              <w:rFonts w:cstheme="minorHAnsi"/>
              <w:sz w:val="18"/>
              <w:szCs w:val="18"/>
            </w:rPr>
            <w:t xml:space="preserve">  </w:t>
          </w:r>
          <w:r w:rsidRPr="001D20D1">
            <w:rPr>
              <w:rFonts w:cstheme="minorHAnsi"/>
              <w:sz w:val="18"/>
              <w:szCs w:val="18"/>
            </w:rPr>
            <w:fldChar w:fldCharType="begin"/>
          </w:r>
          <w:r w:rsidRPr="001D20D1">
            <w:rPr>
              <w:rFonts w:cstheme="minorHAnsi"/>
              <w:sz w:val="18"/>
              <w:szCs w:val="18"/>
            </w:rPr>
            <w:instrText xml:space="preserve"> PAGE </w:instrText>
          </w:r>
          <w:r w:rsidRPr="001D20D1">
            <w:rPr>
              <w:rFonts w:cstheme="minorHAnsi"/>
              <w:sz w:val="18"/>
              <w:szCs w:val="18"/>
            </w:rPr>
            <w:fldChar w:fldCharType="separate"/>
          </w:r>
          <w:r w:rsidR="00587B43">
            <w:rPr>
              <w:rFonts w:cstheme="minorHAnsi"/>
              <w:noProof/>
              <w:sz w:val="18"/>
              <w:szCs w:val="18"/>
            </w:rPr>
            <w:t>10</w:t>
          </w:r>
          <w:r w:rsidRPr="001D20D1">
            <w:rPr>
              <w:rFonts w:cstheme="minorHAnsi"/>
              <w:sz w:val="18"/>
              <w:szCs w:val="18"/>
            </w:rPr>
            <w:fldChar w:fldCharType="end"/>
          </w:r>
          <w:r w:rsidRPr="001D20D1">
            <w:rPr>
              <w:rFonts w:cstheme="minorHAnsi"/>
              <w:sz w:val="18"/>
              <w:szCs w:val="18"/>
            </w:rPr>
            <w:t xml:space="preserve"> z </w:t>
          </w:r>
          <w:r w:rsidRPr="001D20D1">
            <w:rPr>
              <w:rFonts w:cstheme="minorHAnsi"/>
              <w:sz w:val="18"/>
              <w:szCs w:val="18"/>
            </w:rPr>
            <w:fldChar w:fldCharType="begin"/>
          </w:r>
          <w:r w:rsidRPr="001D20D1">
            <w:rPr>
              <w:rFonts w:cstheme="minorHAnsi"/>
              <w:sz w:val="18"/>
              <w:szCs w:val="18"/>
            </w:rPr>
            <w:instrText xml:space="preserve"> NUMPAGES </w:instrText>
          </w:r>
          <w:r w:rsidRPr="001D20D1">
            <w:rPr>
              <w:rFonts w:cstheme="minorHAnsi"/>
              <w:sz w:val="18"/>
              <w:szCs w:val="18"/>
            </w:rPr>
            <w:fldChar w:fldCharType="separate"/>
          </w:r>
          <w:r w:rsidR="00587B43">
            <w:rPr>
              <w:rFonts w:cstheme="minorHAnsi"/>
              <w:noProof/>
              <w:sz w:val="18"/>
              <w:szCs w:val="18"/>
            </w:rPr>
            <w:t>10</w:t>
          </w:r>
          <w:r w:rsidRPr="001D20D1">
            <w:rPr>
              <w:rFonts w:cstheme="minorHAnsi"/>
              <w:sz w:val="18"/>
              <w:szCs w:val="18"/>
            </w:rPr>
            <w:fldChar w:fldCharType="end"/>
          </w:r>
        </w:p>
      </w:tc>
    </w:tr>
  </w:tbl>
  <w:p w14:paraId="31E01E05" w14:textId="77777777" w:rsidR="008328AE" w:rsidRPr="008328AE" w:rsidRDefault="008328AE" w:rsidP="008328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F47246" w14:textId="77777777" w:rsidR="00220946" w:rsidRDefault="002209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DAC0C" w14:textId="77777777" w:rsidR="00B21FC8" w:rsidRDefault="00B21FC8" w:rsidP="008328AE">
      <w:pPr>
        <w:spacing w:after="0" w:line="240" w:lineRule="auto"/>
      </w:pPr>
      <w:r>
        <w:separator/>
      </w:r>
    </w:p>
  </w:footnote>
  <w:footnote w:type="continuationSeparator" w:id="0">
    <w:p w14:paraId="7601085E" w14:textId="77777777" w:rsidR="00B21FC8" w:rsidRDefault="00B21FC8" w:rsidP="00832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D5FF8" w14:textId="77777777" w:rsidR="00220946" w:rsidRDefault="002209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AD75CB" w14:textId="2A70030C" w:rsidR="008328AE" w:rsidRDefault="00F45A3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F2BB97" wp14:editId="0B09B961">
              <wp:simplePos x="0" y="0"/>
              <wp:positionH relativeFrom="margin">
                <wp:posOffset>1904</wp:posOffset>
              </wp:positionH>
              <wp:positionV relativeFrom="paragraph">
                <wp:posOffset>-240665</wp:posOffset>
              </wp:positionV>
              <wp:extent cx="6677025" cy="281940"/>
              <wp:effectExtent l="0" t="0" r="0" b="3810"/>
              <wp:wrapNone/>
              <wp:docPr id="5" name="Pole tekstow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77025" cy="281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450560" w14:textId="31FC10DD" w:rsidR="008328AE" w:rsidRPr="00131BA3" w:rsidRDefault="00F45A3F" w:rsidP="008328AE">
                          <w:pPr>
                            <w:jc w:val="center"/>
                            <w:rPr>
                              <w:i/>
                              <w:iCs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bCs/>
                              <w:i/>
                              <w:iCs/>
                            </w:rPr>
                            <w:t>Procedura zgłaszania naruszeń prawa oraz podejmowania działań następczych w Merida Polska Sp. z o. o.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F2BB97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8" type="#_x0000_t202" style="position:absolute;margin-left:.15pt;margin-top:-18.95pt;width:525.75pt;height:22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" filled="f" stroked="f" strokeweight=".5pt">
              <v:textbox>
                <w:txbxContent>
                  <w:p w14:paraId="09450560" w14:textId="31FC10DD" w:rsidR="008328AE" w:rsidRPr="00131BA3" w:rsidRDefault="00F45A3F" w:rsidP="008328AE">
                    <w:pPr>
                      <w:jc w:val="center"/>
                      <w:rPr>
                        <w:i/>
                        <w:iCs/>
                        <w:sz w:val="18"/>
                        <w:szCs w:val="18"/>
                      </w:rPr>
                    </w:pPr>
                    <w:r>
                      <w:rPr>
                        <w:b/>
                        <w:bCs/>
                        <w:i/>
                        <w:iCs/>
                      </w:rPr>
                      <w:t>Procedura zgłaszania naruszeń prawa oraz podejmowania działań następczych w Merida Polska Sp. z o. o.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A1F8B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C964FA" wp14:editId="5833A628">
              <wp:simplePos x="0" y="0"/>
              <wp:positionH relativeFrom="margin">
                <wp:posOffset>-66675</wp:posOffset>
              </wp:positionH>
              <wp:positionV relativeFrom="paragraph">
                <wp:posOffset>85090</wp:posOffset>
              </wp:positionV>
              <wp:extent cx="6926580" cy="205740"/>
              <wp:effectExtent l="0" t="0" r="26670" b="22860"/>
              <wp:wrapNone/>
              <wp:docPr id="4" name="Prostoką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6580" cy="20574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97D4B2" id="Prostokąt 4" o:spid="_x0000_s1026" style="position:absolute;margin-left:-5.25pt;margin-top:6.7pt;width:545.4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L9YwIAAO8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" fillcolor="window" strokecolor="windowText" strokeweight="1pt">
              <w10:wrap anchorx="margin"/>
            </v:rect>
          </w:pict>
        </mc:Fallback>
      </mc:AlternateContent>
    </w:r>
    <w:r w:rsidR="003A1F8B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7A367B" wp14:editId="7B88E060">
              <wp:simplePos x="0" y="0"/>
              <wp:positionH relativeFrom="margin">
                <wp:posOffset>-61595</wp:posOffset>
              </wp:positionH>
              <wp:positionV relativeFrom="paragraph">
                <wp:posOffset>-240030</wp:posOffset>
              </wp:positionV>
              <wp:extent cx="6926580" cy="205740"/>
              <wp:effectExtent l="0" t="0" r="26670" b="2286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26580" cy="20574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4B4852" id="Prostokąt 1" o:spid="_x0000_s1026" style="position:absolute;margin-left:-4.85pt;margin-top:-18.9pt;width:545.4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" fillcolor="window" strokecolor="windowText" strokeweight="1pt">
              <w10:wrap anchorx="margin"/>
            </v:rect>
          </w:pict>
        </mc:Fallback>
      </mc:AlternateContent>
    </w:r>
    <w:r w:rsidR="008328AE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D14BEF5" wp14:editId="201EDF10">
              <wp:simplePos x="0" y="0"/>
              <wp:positionH relativeFrom="margin">
                <wp:posOffset>1243330</wp:posOffset>
              </wp:positionH>
              <wp:positionV relativeFrom="paragraph">
                <wp:posOffset>102870</wp:posOffset>
              </wp:positionV>
              <wp:extent cx="3733800" cy="358140"/>
              <wp:effectExtent l="0" t="0" r="0" b="3810"/>
              <wp:wrapNone/>
              <wp:docPr id="8" name="Pole tekstow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33800" cy="3581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3FEADB" w14:textId="77777777" w:rsidR="008328AE" w:rsidRPr="00E31811" w:rsidRDefault="008328AE" w:rsidP="008328AE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E31811"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t>MERIDA POLSKA SP. Z O. O. , UL. SKŁODOWSKIEJ-CURIE 35, 41-800 ZABRZE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14BEF5" id="Pole tekstowe 8" o:spid="_x0000_s1029" type="#_x0000_t202" style="position:absolute;margin-left:97.9pt;margin-top:8.1pt;width:294pt;height:28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" filled="f" stroked="f" strokeweight=".5pt">
              <v:textbox>
                <w:txbxContent>
                  <w:p w14:paraId="5E3FEADB" w14:textId="77777777" w:rsidR="008328AE" w:rsidRPr="00E31811" w:rsidRDefault="008328AE" w:rsidP="008328AE">
                    <w:pPr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E31811">
                      <w:rPr>
                        <w:b/>
                        <w:bCs/>
                        <w:sz w:val="18"/>
                        <w:szCs w:val="18"/>
                      </w:rPr>
                      <w:t>MERIDA POLSKA SP. Z O. O. , UL. SKŁODOWSKIEJ-CURIE 35, 41-800 ZABRZE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E2F6E" w14:textId="77777777" w:rsidR="00220946" w:rsidRDefault="002209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E1BA2"/>
    <w:multiLevelType w:val="hybridMultilevel"/>
    <w:tmpl w:val="89EA3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11EC3"/>
    <w:multiLevelType w:val="hybridMultilevel"/>
    <w:tmpl w:val="BE963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81444"/>
    <w:multiLevelType w:val="hybridMultilevel"/>
    <w:tmpl w:val="40A21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83D75"/>
    <w:multiLevelType w:val="hybridMultilevel"/>
    <w:tmpl w:val="D1624A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2C1B9E"/>
    <w:multiLevelType w:val="hybridMultilevel"/>
    <w:tmpl w:val="83B2DA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C579D"/>
    <w:multiLevelType w:val="hybridMultilevel"/>
    <w:tmpl w:val="1AD6C6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855E2C"/>
    <w:multiLevelType w:val="hybridMultilevel"/>
    <w:tmpl w:val="EC52992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05F01D0"/>
    <w:multiLevelType w:val="hybridMultilevel"/>
    <w:tmpl w:val="740E9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27EBD"/>
    <w:multiLevelType w:val="hybridMultilevel"/>
    <w:tmpl w:val="E9AAD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BD778B"/>
    <w:multiLevelType w:val="hybridMultilevel"/>
    <w:tmpl w:val="D9343E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77B64C7"/>
    <w:multiLevelType w:val="hybridMultilevel"/>
    <w:tmpl w:val="F69AFD7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0B540DD"/>
    <w:multiLevelType w:val="hybridMultilevel"/>
    <w:tmpl w:val="FA123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F5EAD"/>
    <w:multiLevelType w:val="hybridMultilevel"/>
    <w:tmpl w:val="4740F7C6"/>
    <w:lvl w:ilvl="0" w:tplc="AC8A9A76">
      <w:start w:val="1"/>
      <w:numFmt w:val="decimal"/>
      <w:lvlText w:val="%1."/>
      <w:lvlJc w:val="left"/>
      <w:pPr>
        <w:ind w:left="1452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7D23192"/>
    <w:multiLevelType w:val="hybridMultilevel"/>
    <w:tmpl w:val="B96E3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D24242"/>
    <w:multiLevelType w:val="hybridMultilevel"/>
    <w:tmpl w:val="BEC897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B03D15"/>
    <w:multiLevelType w:val="hybridMultilevel"/>
    <w:tmpl w:val="DEA602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72ED9"/>
    <w:multiLevelType w:val="hybridMultilevel"/>
    <w:tmpl w:val="F11C72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30D1417"/>
    <w:multiLevelType w:val="hybridMultilevel"/>
    <w:tmpl w:val="DD3A9ED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BB1085"/>
    <w:multiLevelType w:val="hybridMultilevel"/>
    <w:tmpl w:val="F0D4AF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B9D7DB7"/>
    <w:multiLevelType w:val="hybridMultilevel"/>
    <w:tmpl w:val="48AA2B4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D6627F"/>
    <w:multiLevelType w:val="hybridMultilevel"/>
    <w:tmpl w:val="3438C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1407B"/>
    <w:multiLevelType w:val="hybridMultilevel"/>
    <w:tmpl w:val="B29239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61F3839"/>
    <w:multiLevelType w:val="hybridMultilevel"/>
    <w:tmpl w:val="43BE4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17B7E"/>
    <w:multiLevelType w:val="hybridMultilevel"/>
    <w:tmpl w:val="DBC84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681F4C"/>
    <w:multiLevelType w:val="hybridMultilevel"/>
    <w:tmpl w:val="A1B87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AD54EC"/>
    <w:multiLevelType w:val="hybridMultilevel"/>
    <w:tmpl w:val="40CE7D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F771560"/>
    <w:multiLevelType w:val="hybridMultilevel"/>
    <w:tmpl w:val="A6847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217A7"/>
    <w:multiLevelType w:val="hybridMultilevel"/>
    <w:tmpl w:val="4A86616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8" w15:restartNumberingAfterBreak="0">
    <w:nsid w:val="6F5D1CA2"/>
    <w:multiLevelType w:val="hybridMultilevel"/>
    <w:tmpl w:val="75E2E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F03DD"/>
    <w:multiLevelType w:val="hybridMultilevel"/>
    <w:tmpl w:val="24AC1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BF0634"/>
    <w:multiLevelType w:val="hybridMultilevel"/>
    <w:tmpl w:val="4A60CB18"/>
    <w:lvl w:ilvl="0" w:tplc="0415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31" w15:restartNumberingAfterBreak="0">
    <w:nsid w:val="7A5D0DA6"/>
    <w:multiLevelType w:val="hybridMultilevel"/>
    <w:tmpl w:val="1C02C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753B2C"/>
    <w:multiLevelType w:val="hybridMultilevel"/>
    <w:tmpl w:val="A6847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505285">
    <w:abstractNumId w:val="22"/>
  </w:num>
  <w:num w:numId="2" w16cid:durableId="477889884">
    <w:abstractNumId w:val="18"/>
  </w:num>
  <w:num w:numId="3" w16cid:durableId="456223563">
    <w:abstractNumId w:val="13"/>
  </w:num>
  <w:num w:numId="4" w16cid:durableId="829642413">
    <w:abstractNumId w:val="31"/>
  </w:num>
  <w:num w:numId="5" w16cid:durableId="372733807">
    <w:abstractNumId w:val="7"/>
  </w:num>
  <w:num w:numId="6" w16cid:durableId="653994777">
    <w:abstractNumId w:val="3"/>
  </w:num>
  <w:num w:numId="7" w16cid:durableId="1512451987">
    <w:abstractNumId w:val="14"/>
  </w:num>
  <w:num w:numId="8" w16cid:durableId="1419641990">
    <w:abstractNumId w:val="20"/>
  </w:num>
  <w:num w:numId="9" w16cid:durableId="1477144129">
    <w:abstractNumId w:val="1"/>
  </w:num>
  <w:num w:numId="10" w16cid:durableId="1516188778">
    <w:abstractNumId w:val="5"/>
  </w:num>
  <w:num w:numId="11" w16cid:durableId="88701078">
    <w:abstractNumId w:val="0"/>
  </w:num>
  <w:num w:numId="12" w16cid:durableId="21052424">
    <w:abstractNumId w:val="32"/>
  </w:num>
  <w:num w:numId="13" w16cid:durableId="1317687400">
    <w:abstractNumId w:val="9"/>
  </w:num>
  <w:num w:numId="14" w16cid:durableId="1080711913">
    <w:abstractNumId w:val="21"/>
  </w:num>
  <w:num w:numId="15" w16cid:durableId="1554926563">
    <w:abstractNumId w:val="15"/>
  </w:num>
  <w:num w:numId="16" w16cid:durableId="2041511972">
    <w:abstractNumId w:val="10"/>
  </w:num>
  <w:num w:numId="17" w16cid:durableId="1905751660">
    <w:abstractNumId w:val="26"/>
  </w:num>
  <w:num w:numId="18" w16cid:durableId="1813524381">
    <w:abstractNumId w:val="24"/>
  </w:num>
  <w:num w:numId="19" w16cid:durableId="418403645">
    <w:abstractNumId w:val="6"/>
  </w:num>
  <w:num w:numId="20" w16cid:durableId="751044811">
    <w:abstractNumId w:val="17"/>
  </w:num>
  <w:num w:numId="21" w16cid:durableId="1794786507">
    <w:abstractNumId w:val="11"/>
  </w:num>
  <w:num w:numId="22" w16cid:durableId="253443898">
    <w:abstractNumId w:val="4"/>
  </w:num>
  <w:num w:numId="23" w16cid:durableId="147017265">
    <w:abstractNumId w:val="30"/>
  </w:num>
  <w:num w:numId="24" w16cid:durableId="1671516383">
    <w:abstractNumId w:val="8"/>
  </w:num>
  <w:num w:numId="25" w16cid:durableId="216166355">
    <w:abstractNumId w:val="2"/>
  </w:num>
  <w:num w:numId="26" w16cid:durableId="1273129763">
    <w:abstractNumId w:val="29"/>
  </w:num>
  <w:num w:numId="27" w16cid:durableId="707340449">
    <w:abstractNumId w:val="19"/>
  </w:num>
  <w:num w:numId="28" w16cid:durableId="1245064835">
    <w:abstractNumId w:val="25"/>
  </w:num>
  <w:num w:numId="29" w16cid:durableId="1814911593">
    <w:abstractNumId w:val="28"/>
  </w:num>
  <w:num w:numId="30" w16cid:durableId="1911501507">
    <w:abstractNumId w:val="27"/>
  </w:num>
  <w:num w:numId="31" w16cid:durableId="872881462">
    <w:abstractNumId w:val="23"/>
  </w:num>
  <w:num w:numId="32" w16cid:durableId="586547765">
    <w:abstractNumId w:val="12"/>
  </w:num>
  <w:num w:numId="33" w16cid:durableId="720135058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8AE"/>
    <w:rsid w:val="00040A21"/>
    <w:rsid w:val="00061E9C"/>
    <w:rsid w:val="00094147"/>
    <w:rsid w:val="000B5BD2"/>
    <w:rsid w:val="000F3CE4"/>
    <w:rsid w:val="000F7202"/>
    <w:rsid w:val="0015318D"/>
    <w:rsid w:val="001765B4"/>
    <w:rsid w:val="00176C85"/>
    <w:rsid w:val="00195F21"/>
    <w:rsid w:val="001C17F9"/>
    <w:rsid w:val="001D0C0D"/>
    <w:rsid w:val="001D20D1"/>
    <w:rsid w:val="001F4ABE"/>
    <w:rsid w:val="0020245B"/>
    <w:rsid w:val="0020392E"/>
    <w:rsid w:val="00220946"/>
    <w:rsid w:val="002B6B48"/>
    <w:rsid w:val="002D6BD4"/>
    <w:rsid w:val="00300470"/>
    <w:rsid w:val="00303294"/>
    <w:rsid w:val="00397A51"/>
    <w:rsid w:val="003A1F8B"/>
    <w:rsid w:val="003E4379"/>
    <w:rsid w:val="00407CCD"/>
    <w:rsid w:val="00425ED9"/>
    <w:rsid w:val="00446FB6"/>
    <w:rsid w:val="004B0082"/>
    <w:rsid w:val="004D2C21"/>
    <w:rsid w:val="00523C35"/>
    <w:rsid w:val="00524F80"/>
    <w:rsid w:val="00534631"/>
    <w:rsid w:val="00587B43"/>
    <w:rsid w:val="00594E81"/>
    <w:rsid w:val="005D75E0"/>
    <w:rsid w:val="005E7500"/>
    <w:rsid w:val="005F7CF6"/>
    <w:rsid w:val="00615F3A"/>
    <w:rsid w:val="0062419F"/>
    <w:rsid w:val="006B6403"/>
    <w:rsid w:val="006C3199"/>
    <w:rsid w:val="006F2560"/>
    <w:rsid w:val="00714DE0"/>
    <w:rsid w:val="00731623"/>
    <w:rsid w:val="0073249A"/>
    <w:rsid w:val="00742C0B"/>
    <w:rsid w:val="00763166"/>
    <w:rsid w:val="0079074F"/>
    <w:rsid w:val="007A7167"/>
    <w:rsid w:val="008328AE"/>
    <w:rsid w:val="00861C3E"/>
    <w:rsid w:val="0089371C"/>
    <w:rsid w:val="009B52D5"/>
    <w:rsid w:val="009F062C"/>
    <w:rsid w:val="00A16C2E"/>
    <w:rsid w:val="00A42925"/>
    <w:rsid w:val="00A57241"/>
    <w:rsid w:val="00A60879"/>
    <w:rsid w:val="00A71897"/>
    <w:rsid w:val="00A9720F"/>
    <w:rsid w:val="00AB20D1"/>
    <w:rsid w:val="00AC249A"/>
    <w:rsid w:val="00AD5C92"/>
    <w:rsid w:val="00AE21A1"/>
    <w:rsid w:val="00AE6219"/>
    <w:rsid w:val="00AF7B35"/>
    <w:rsid w:val="00B21FC8"/>
    <w:rsid w:val="00B53ECD"/>
    <w:rsid w:val="00B749BA"/>
    <w:rsid w:val="00B92C0C"/>
    <w:rsid w:val="00BA62CC"/>
    <w:rsid w:val="00BE2CB7"/>
    <w:rsid w:val="00C2455C"/>
    <w:rsid w:val="00C527DB"/>
    <w:rsid w:val="00C53E1A"/>
    <w:rsid w:val="00C71673"/>
    <w:rsid w:val="00C95A7F"/>
    <w:rsid w:val="00CE4E2B"/>
    <w:rsid w:val="00D12AC6"/>
    <w:rsid w:val="00D303FE"/>
    <w:rsid w:val="00D305A1"/>
    <w:rsid w:val="00DE3A48"/>
    <w:rsid w:val="00DE757B"/>
    <w:rsid w:val="00E03608"/>
    <w:rsid w:val="00EE04E0"/>
    <w:rsid w:val="00EE4DB1"/>
    <w:rsid w:val="00F45A3F"/>
    <w:rsid w:val="00F651C9"/>
    <w:rsid w:val="00FB1E25"/>
    <w:rsid w:val="00FB370B"/>
    <w:rsid w:val="00FE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8B6734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5A3F"/>
    <w:pPr>
      <w:keepNext/>
      <w:keepLines/>
      <w:spacing w:before="240" w:after="0" w:line="276" w:lineRule="auto"/>
      <w:outlineLvl w:val="0"/>
    </w:pPr>
    <w:rPr>
      <w:rFonts w:ascii="Cambria" w:eastAsia="Times New Roman" w:hAnsi="Cambria" w:cs="Times New Roman"/>
      <w:color w:val="365F91"/>
      <w:kern w:val="0"/>
      <w:sz w:val="32"/>
      <w:szCs w:val="3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F45A3F"/>
    <w:rPr>
      <w:rFonts w:ascii="Cambria" w:eastAsia="Times New Roman" w:hAnsi="Cambria" w:cs="Times New Roman"/>
      <w:color w:val="365F91"/>
      <w:kern w:val="0"/>
      <w:sz w:val="32"/>
      <w:szCs w:val="32"/>
      <w14:ligatures w14:val="none"/>
    </w:rPr>
  </w:style>
  <w:style w:type="paragraph" w:styleId="Akapitzlist">
    <w:name w:val="List Paragraph"/>
    <w:basedOn w:val="Normalny"/>
    <w:uiPriority w:val="34"/>
    <w:qFormat/>
    <w:rsid w:val="00F45A3F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F45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gnalista@merid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2768</Words>
  <Characters>16610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6</cp:revision>
  <cp:lastPrinted>2024-09-17T10:53:00Z</cp:lastPrinted>
  <dcterms:created xsi:type="dcterms:W3CDTF">2024-09-17T09:46:00Z</dcterms:created>
  <dcterms:modified xsi:type="dcterms:W3CDTF">2024-09-17T10:54:00Z</dcterms:modified>
</cp:coreProperties>
</file>